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B66E2" w14:textId="68D08437" w:rsidR="004C6C4A" w:rsidRPr="003D0F39" w:rsidRDefault="00F059AA" w:rsidP="003D0F39">
      <w:pPr>
        <w:pBdr>
          <w:top w:val="nil"/>
          <w:left w:val="nil"/>
          <w:bottom w:val="nil"/>
          <w:right w:val="nil"/>
          <w:between w:val="nil"/>
        </w:pBdr>
        <w:tabs>
          <w:tab w:val="center" w:pos="4513"/>
          <w:tab w:val="right" w:pos="9026"/>
        </w:tabs>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030D1D33" w14:textId="77777777" w:rsidR="004C6C4A" w:rsidRDefault="00F059AA" w:rsidP="001021F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925D039" w14:textId="77777777" w:rsidR="004C6C4A" w:rsidRDefault="00F059AA" w:rsidP="001021F5">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14:paraId="2AB1D202" w14:textId="77777777" w:rsidR="004C6C4A" w:rsidRDefault="004C6C4A">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7"/>
        <w:tblW w:w="9026"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4513"/>
        <w:gridCol w:w="4513"/>
      </w:tblGrid>
      <w:tr w:rsidR="004C6C4A" w14:paraId="201CF14C" w14:textId="77777777" w:rsidTr="001021F5">
        <w:trPr>
          <w:trHeight w:val="1061"/>
        </w:trPr>
        <w:tc>
          <w:tcPr>
            <w:tcW w:w="4513" w:type="dxa"/>
          </w:tcPr>
          <w:p w14:paraId="02D26328" w14:textId="77777777" w:rsidR="004C6C4A" w:rsidRDefault="00F059AA">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“Board”</w:t>
            </w:r>
          </w:p>
        </w:tc>
        <w:tc>
          <w:tcPr>
            <w:tcW w:w="4513" w:type="dxa"/>
          </w:tcPr>
          <w:p w14:paraId="5C32B37F" w14:textId="77777777" w:rsidR="004C6C4A" w:rsidRDefault="00F059AA">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means the Supplier’s board of directors;</w:t>
            </w:r>
          </w:p>
        </w:tc>
      </w:tr>
      <w:tr w:rsidR="004C6C4A" w14:paraId="7756DB6C" w14:textId="77777777" w:rsidTr="001021F5">
        <w:tc>
          <w:tcPr>
            <w:tcW w:w="4513" w:type="dxa"/>
          </w:tcPr>
          <w:p w14:paraId="1161B925" w14:textId="77777777" w:rsidR="004C6C4A" w:rsidRDefault="00F059AA">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“Board Confirmation”</w:t>
            </w:r>
          </w:p>
        </w:tc>
        <w:tc>
          <w:tcPr>
            <w:tcW w:w="4513" w:type="dxa"/>
          </w:tcPr>
          <w:p w14:paraId="6D086D52" w14:textId="77777777" w:rsidR="004C6C4A" w:rsidRDefault="00F059AA">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means written confirmation from the Board in accordance with Paragraph 8 of this Schedule;</w:t>
            </w:r>
          </w:p>
        </w:tc>
      </w:tr>
      <w:tr w:rsidR="004C6C4A" w14:paraId="1B0429BC" w14:textId="77777777" w:rsidTr="001021F5">
        <w:tc>
          <w:tcPr>
            <w:tcW w:w="4513" w:type="dxa"/>
          </w:tcPr>
          <w:p w14:paraId="5A2CA928" w14:textId="77777777" w:rsidR="004C6C4A" w:rsidRDefault="00F059AA">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“Bronze Contract”</w:t>
            </w:r>
          </w:p>
        </w:tc>
        <w:tc>
          <w:tcPr>
            <w:tcW w:w="4513" w:type="dxa"/>
          </w:tcPr>
          <w:p w14:paraId="7E624529" w14:textId="77777777" w:rsidR="004C6C4A" w:rsidRDefault="00F059AA">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 xml:space="preserve">A Call-Off Contract categorised as a </w:t>
            </w:r>
            <w:proofErr w:type="gramStart"/>
            <w:r>
              <w:rPr>
                <w:rFonts w:ascii="Arial" w:eastAsia="Arial" w:hAnsi="Arial"/>
                <w:color w:val="000000"/>
                <w:sz w:val="24"/>
                <w:szCs w:val="24"/>
              </w:rPr>
              <w:t>Bronze</w:t>
            </w:r>
            <w:proofErr w:type="gramEnd"/>
            <w:r>
              <w:rPr>
                <w:rFonts w:ascii="Arial" w:eastAsia="Arial" w:hAnsi="Arial"/>
                <w:color w:val="000000"/>
                <w:sz w:val="24"/>
                <w:szCs w:val="24"/>
              </w:rPr>
              <w:t xml:space="preserve"> contract using the Cabinet Office Contract Tiering Tool;</w:t>
            </w:r>
          </w:p>
        </w:tc>
      </w:tr>
      <w:tr w:rsidR="004C6C4A" w14:paraId="267DF46A" w14:textId="77777777" w:rsidTr="001021F5">
        <w:tc>
          <w:tcPr>
            <w:tcW w:w="4513" w:type="dxa"/>
          </w:tcPr>
          <w:p w14:paraId="09C1E43F" w14:textId="77777777" w:rsidR="004C6C4A" w:rsidRDefault="00F059AA">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“Cabinet Office Markets and Suppliers Team”</w:t>
            </w:r>
          </w:p>
        </w:tc>
        <w:tc>
          <w:tcPr>
            <w:tcW w:w="4513" w:type="dxa"/>
          </w:tcPr>
          <w:p w14:paraId="6E5DFB48" w14:textId="77777777" w:rsidR="004C6C4A" w:rsidRDefault="00F059AA">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4C6C4A" w14:paraId="6CE0B6E7" w14:textId="77777777" w:rsidTr="001021F5">
        <w:tc>
          <w:tcPr>
            <w:tcW w:w="4513" w:type="dxa"/>
          </w:tcPr>
          <w:p w14:paraId="491658B4" w14:textId="77777777" w:rsidR="004C6C4A" w:rsidRDefault="00F059AA">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“Credit Rating Threshold”</w:t>
            </w:r>
          </w:p>
        </w:tc>
        <w:tc>
          <w:tcPr>
            <w:tcW w:w="4513" w:type="dxa"/>
          </w:tcPr>
          <w:p w14:paraId="7955D531" w14:textId="77777777" w:rsidR="004C6C4A" w:rsidRDefault="00F059AA">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the minimum credit rating level for each entity in the FDE Group as set out in Annex 1 to this Schedule;</w:t>
            </w:r>
          </w:p>
        </w:tc>
      </w:tr>
      <w:tr w:rsidR="004C6C4A" w14:paraId="20DD24B5" w14:textId="77777777" w:rsidTr="001021F5">
        <w:tc>
          <w:tcPr>
            <w:tcW w:w="4513" w:type="dxa"/>
          </w:tcPr>
          <w:p w14:paraId="03D5B0BC" w14:textId="77777777" w:rsidR="004C6C4A" w:rsidRDefault="00F059AA">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“FDE Group”</w:t>
            </w:r>
          </w:p>
        </w:tc>
        <w:tc>
          <w:tcPr>
            <w:tcW w:w="4513" w:type="dxa"/>
          </w:tcPr>
          <w:p w14:paraId="37E9D6AB" w14:textId="66213E4C" w:rsidR="004C6C4A" w:rsidRDefault="00F059AA">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 xml:space="preserve">means the </w:t>
            </w:r>
            <w:r w:rsidRPr="001021F5">
              <w:rPr>
                <w:rFonts w:ascii="Arial" w:eastAsia="Arial" w:hAnsi="Arial"/>
                <w:color w:val="000000"/>
                <w:sz w:val="24"/>
              </w:rPr>
              <w:t xml:space="preserve">Supplier, Key </w:t>
            </w:r>
            <w:r>
              <w:rPr>
                <w:rFonts w:ascii="Arial" w:eastAsia="Arial" w:hAnsi="Arial"/>
                <w:color w:val="000000"/>
                <w:sz w:val="24"/>
                <w:szCs w:val="24"/>
              </w:rPr>
              <w:t xml:space="preserve">and </w:t>
            </w:r>
            <w:r w:rsidRPr="001021F5">
              <w:rPr>
                <w:rFonts w:ascii="Arial" w:eastAsia="Arial" w:hAnsi="Arial"/>
                <w:color w:val="000000"/>
                <w:sz w:val="24"/>
              </w:rPr>
              <w:t>Sub-contractors</w:t>
            </w:r>
            <w:r>
              <w:rPr>
                <w:rFonts w:ascii="Arial" w:eastAsia="Arial" w:hAnsi="Arial"/>
                <w:color w:val="000000"/>
                <w:sz w:val="24"/>
                <w:szCs w:val="24"/>
              </w:rPr>
              <w:t>;</w:t>
            </w:r>
          </w:p>
        </w:tc>
      </w:tr>
      <w:tr w:rsidR="004C6C4A" w14:paraId="265CFF4C" w14:textId="77777777" w:rsidTr="001021F5">
        <w:tc>
          <w:tcPr>
            <w:tcW w:w="4513" w:type="dxa"/>
          </w:tcPr>
          <w:p w14:paraId="5ED5EB46" w14:textId="77777777" w:rsidR="004C6C4A" w:rsidRDefault="00F059AA">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“Financial Distress Event”</w:t>
            </w:r>
          </w:p>
        </w:tc>
        <w:tc>
          <w:tcPr>
            <w:tcW w:w="4513" w:type="dxa"/>
          </w:tcPr>
          <w:p w14:paraId="4FAFCD1F" w14:textId="77777777" w:rsidR="004C6C4A" w:rsidRDefault="00F059AA">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Any of the events listed in Paragraph 3.1 of this Schedule;</w:t>
            </w:r>
          </w:p>
        </w:tc>
      </w:tr>
      <w:tr w:rsidR="004C6C4A" w14:paraId="29DE7793" w14:textId="77777777" w:rsidTr="001021F5">
        <w:tc>
          <w:tcPr>
            <w:tcW w:w="4513" w:type="dxa"/>
          </w:tcPr>
          <w:p w14:paraId="58BAC2B3" w14:textId="77777777" w:rsidR="004C6C4A" w:rsidRDefault="00F059AA">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“Financial Distress Remediation Plan”</w:t>
            </w:r>
          </w:p>
        </w:tc>
        <w:tc>
          <w:tcPr>
            <w:tcW w:w="4513" w:type="dxa"/>
          </w:tcPr>
          <w:p w14:paraId="0FCC40CB" w14:textId="77777777" w:rsidR="004C6C4A" w:rsidRDefault="00F059AA">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4C6C4A" w14:paraId="39C6719D" w14:textId="77777777" w:rsidTr="001021F5">
        <w:tc>
          <w:tcPr>
            <w:tcW w:w="4513" w:type="dxa"/>
          </w:tcPr>
          <w:p w14:paraId="569E1559" w14:textId="77777777" w:rsidR="004C6C4A" w:rsidRDefault="00F059AA">
            <w:pPr>
              <w:pBdr>
                <w:top w:val="nil"/>
                <w:left w:val="nil"/>
                <w:bottom w:val="nil"/>
                <w:right w:val="nil"/>
                <w:between w:val="nil"/>
              </w:pBdr>
              <w:tabs>
                <w:tab w:val="left" w:pos="1134"/>
              </w:tabs>
              <w:spacing w:before="120" w:after="120"/>
              <w:ind w:left="177" w:hanging="41"/>
              <w:jc w:val="left"/>
            </w:pPr>
            <w:bookmarkStart w:id="0" w:name="_heading=h.3dy6vkm" w:colFirst="0" w:colLast="0"/>
            <w:bookmarkEnd w:id="0"/>
            <w:r>
              <w:rPr>
                <w:rFonts w:ascii="Arial" w:eastAsia="Arial" w:hAnsi="Arial"/>
                <w:b/>
                <w:color w:val="000000"/>
                <w:sz w:val="24"/>
                <w:szCs w:val="24"/>
              </w:rPr>
              <w:lastRenderedPageBreak/>
              <w:t>“Financial Indicators”</w:t>
            </w:r>
          </w:p>
        </w:tc>
        <w:tc>
          <w:tcPr>
            <w:tcW w:w="4513" w:type="dxa"/>
          </w:tcPr>
          <w:p w14:paraId="09A5D419" w14:textId="31D53C4F" w:rsidR="004C6C4A" w:rsidRDefault="00F059AA">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in respect of the Supplier, Key Sub-contractors, means each of the financial indicators set out at paragraph 5.1 of this Schedule</w:t>
            </w:r>
            <w:r w:rsidR="001021F5">
              <w:rPr>
                <w:rFonts w:ascii="Arial" w:eastAsia="Arial" w:hAnsi="Arial"/>
                <w:color w:val="000000"/>
                <w:sz w:val="24"/>
                <w:szCs w:val="24"/>
              </w:rPr>
              <w:t>;</w:t>
            </w:r>
          </w:p>
        </w:tc>
      </w:tr>
      <w:tr w:rsidR="004C6C4A" w14:paraId="15DD9703" w14:textId="77777777" w:rsidTr="001021F5">
        <w:tc>
          <w:tcPr>
            <w:tcW w:w="4513" w:type="dxa"/>
          </w:tcPr>
          <w:p w14:paraId="0D016629" w14:textId="77777777" w:rsidR="004C6C4A" w:rsidRDefault="00F059AA">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“Financial Target Thresholds”</w:t>
            </w:r>
          </w:p>
        </w:tc>
        <w:tc>
          <w:tcPr>
            <w:tcW w:w="4513" w:type="dxa"/>
          </w:tcPr>
          <w:p w14:paraId="09B8E95F" w14:textId="77777777" w:rsidR="004C6C4A" w:rsidRDefault="00F059AA">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means the target thresholds for each of the Financial Indicators set out at paragraph 5.1 of this Schedule;</w:t>
            </w:r>
          </w:p>
        </w:tc>
      </w:tr>
      <w:tr w:rsidR="004C6C4A" w14:paraId="617A4204" w14:textId="77777777" w:rsidTr="001021F5">
        <w:tc>
          <w:tcPr>
            <w:tcW w:w="4513" w:type="dxa"/>
          </w:tcPr>
          <w:p w14:paraId="70F71C16" w14:textId="77777777" w:rsidR="004C6C4A" w:rsidRDefault="00F059AA">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“Rating Agencies”</w:t>
            </w:r>
          </w:p>
        </w:tc>
        <w:tc>
          <w:tcPr>
            <w:tcW w:w="4513" w:type="dxa"/>
          </w:tcPr>
          <w:p w14:paraId="52FD7B91" w14:textId="77777777" w:rsidR="004C6C4A" w:rsidRDefault="00F059AA">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The rating agencies listed in Annex 1 of this Schedule;</w:t>
            </w:r>
          </w:p>
        </w:tc>
      </w:tr>
      <w:tr w:rsidR="004C6C4A" w14:paraId="5625691F" w14:textId="77777777" w:rsidTr="001021F5">
        <w:tc>
          <w:tcPr>
            <w:tcW w:w="4513" w:type="dxa"/>
          </w:tcPr>
          <w:p w14:paraId="2A437337" w14:textId="77777777" w:rsidR="004C6C4A" w:rsidRDefault="00F059AA">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“Strategic Supplier”</w:t>
            </w:r>
          </w:p>
        </w:tc>
        <w:tc>
          <w:tcPr>
            <w:tcW w:w="4513" w:type="dxa"/>
          </w:tcPr>
          <w:p w14:paraId="78A7BDB3" w14:textId="77777777" w:rsidR="004C6C4A" w:rsidRDefault="00F059AA">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 xml:space="preserve">means those suppliers to government listed at </w:t>
            </w:r>
            <w:hyperlink r:id="rId13">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14:paraId="743EB615" w14:textId="77777777" w:rsidR="004C6C4A" w:rsidRDefault="00F059AA" w:rsidP="001021F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Warranties and duty to </w:t>
      </w:r>
      <w:proofErr w:type="gramStart"/>
      <w:r>
        <w:rPr>
          <w:rFonts w:ascii="Arial Bold" w:eastAsia="Arial Bold" w:hAnsi="Arial Bold" w:cs="Arial Bold"/>
          <w:b/>
          <w:color w:val="000000"/>
          <w:sz w:val="24"/>
          <w:szCs w:val="24"/>
        </w:rPr>
        <w:t>notify</w:t>
      </w:r>
      <w:proofErr w:type="gramEnd"/>
    </w:p>
    <w:p w14:paraId="24DC2C15" w14:textId="77777777" w:rsidR="004C6C4A" w:rsidRDefault="00F059AA" w:rsidP="00AE6D01">
      <w:pPr>
        <w:numPr>
          <w:ilvl w:val="1"/>
          <w:numId w:val="2"/>
        </w:numPr>
        <w:pBdr>
          <w:top w:val="nil"/>
          <w:left w:val="nil"/>
          <w:bottom w:val="nil"/>
          <w:right w:val="nil"/>
          <w:between w:val="nil"/>
        </w:pBdr>
        <w:tabs>
          <w:tab w:val="left" w:pos="1134"/>
        </w:tabs>
        <w:spacing w:before="120" w:after="120"/>
        <w:ind w:left="709"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2D93DD33" w14:textId="77777777" w:rsidR="004C6C4A" w:rsidRDefault="00F059AA" w:rsidP="00AE6D01">
      <w:pPr>
        <w:numPr>
          <w:ilvl w:val="2"/>
          <w:numId w:val="2"/>
        </w:numPr>
        <w:pBdr>
          <w:top w:val="nil"/>
          <w:left w:val="nil"/>
          <w:bottom w:val="nil"/>
          <w:right w:val="nil"/>
          <w:between w:val="nil"/>
        </w:pBdr>
        <w:tabs>
          <w:tab w:val="left" w:pos="1985"/>
        </w:tabs>
        <w:spacing w:before="120" w:after="120"/>
        <w:ind w:left="1418"/>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Annex 2 to this Schedule; and</w:t>
      </w:r>
    </w:p>
    <w:p w14:paraId="1C99B084" w14:textId="5C77665C" w:rsidR="004C6C4A" w:rsidRDefault="00F059AA" w:rsidP="00AE6D01">
      <w:pPr>
        <w:numPr>
          <w:ilvl w:val="2"/>
          <w:numId w:val="2"/>
        </w:numPr>
        <w:pBdr>
          <w:top w:val="nil"/>
          <w:left w:val="nil"/>
          <w:bottom w:val="nil"/>
          <w:right w:val="nil"/>
          <w:between w:val="nil"/>
        </w:pBdr>
        <w:tabs>
          <w:tab w:val="left" w:pos="1985"/>
        </w:tabs>
        <w:spacing w:before="120" w:after="120"/>
        <w:ind w:left="1418"/>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and Key Sub-contractors satisfies the Financial Target Thresholds.</w:t>
      </w:r>
    </w:p>
    <w:p w14:paraId="4F157A44" w14:textId="77777777" w:rsidR="004C6C4A" w:rsidRDefault="00F059AA" w:rsidP="00AE6D01">
      <w:pPr>
        <w:numPr>
          <w:ilvl w:val="1"/>
          <w:numId w:val="2"/>
        </w:numPr>
        <w:pBdr>
          <w:top w:val="nil"/>
          <w:left w:val="nil"/>
          <w:bottom w:val="nil"/>
          <w:right w:val="nil"/>
          <w:between w:val="nil"/>
        </w:pBdr>
        <w:tabs>
          <w:tab w:val="left" w:pos="1134"/>
        </w:tabs>
        <w:spacing w:before="120" w:after="120"/>
        <w:ind w:left="709"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06005308" w14:textId="77777777" w:rsidR="004C6C4A" w:rsidRDefault="00F059AA" w:rsidP="00AE6D01">
      <w:pPr>
        <w:numPr>
          <w:ilvl w:val="1"/>
          <w:numId w:val="2"/>
        </w:numPr>
        <w:pBdr>
          <w:top w:val="nil"/>
          <w:left w:val="nil"/>
          <w:bottom w:val="nil"/>
          <w:right w:val="nil"/>
          <w:between w:val="nil"/>
        </w:pBdr>
        <w:tabs>
          <w:tab w:val="left" w:pos="1134"/>
        </w:tabs>
        <w:spacing w:before="120" w:after="120"/>
        <w:ind w:left="709" w:hanging="360"/>
        <w:jc w:val="left"/>
        <w:rPr>
          <w:rFonts w:ascii="Arial" w:eastAsia="Arial" w:hAnsi="Arial"/>
          <w:color w:val="000000"/>
          <w:sz w:val="24"/>
          <w:szCs w:val="24"/>
        </w:rPr>
      </w:pPr>
      <w:r>
        <w:rPr>
          <w:rFonts w:ascii="Arial" w:eastAsia="Arial" w:hAnsi="Arial"/>
          <w:color w:val="000000"/>
          <w:sz w:val="24"/>
          <w:szCs w:val="24"/>
        </w:rPr>
        <w:t>The Supplier shall:</w:t>
      </w:r>
    </w:p>
    <w:p w14:paraId="557E0297" w14:textId="77777777" w:rsidR="004C6C4A" w:rsidRDefault="00F059AA" w:rsidP="00AE6D01">
      <w:pPr>
        <w:numPr>
          <w:ilvl w:val="2"/>
          <w:numId w:val="2"/>
        </w:numPr>
        <w:pBdr>
          <w:top w:val="nil"/>
          <w:left w:val="nil"/>
          <w:bottom w:val="nil"/>
          <w:right w:val="nil"/>
          <w:between w:val="nil"/>
        </w:pBdr>
        <w:tabs>
          <w:tab w:val="left" w:pos="1985"/>
        </w:tabs>
        <w:spacing w:before="120" w:after="120"/>
        <w:ind w:left="1418"/>
        <w:rPr>
          <w:rFonts w:ascii="Arial" w:eastAsia="Arial" w:hAnsi="Arial"/>
          <w:color w:val="000000"/>
          <w:sz w:val="24"/>
          <w:szCs w:val="24"/>
        </w:rPr>
      </w:pPr>
      <w:r>
        <w:rPr>
          <w:rFonts w:ascii="Arial" w:eastAsia="Arial" w:hAnsi="Arial"/>
          <w:color w:val="000000"/>
          <w:sz w:val="24"/>
          <w:szCs w:val="24"/>
        </w:rPr>
        <w:t xml:space="preserve">regularly monitor the credit ratings of each entity in the FDE Group with the Rating </w:t>
      </w:r>
      <w:proofErr w:type="gramStart"/>
      <w:r>
        <w:rPr>
          <w:rFonts w:ascii="Arial" w:eastAsia="Arial" w:hAnsi="Arial"/>
          <w:color w:val="000000"/>
          <w:sz w:val="24"/>
          <w:szCs w:val="24"/>
        </w:rPr>
        <w:t>Agencies;</w:t>
      </w:r>
      <w:proofErr w:type="gramEnd"/>
    </w:p>
    <w:p w14:paraId="5E364CE5" w14:textId="77777777" w:rsidR="004C6C4A" w:rsidRDefault="00F059AA" w:rsidP="00AE6D01">
      <w:pPr>
        <w:numPr>
          <w:ilvl w:val="2"/>
          <w:numId w:val="2"/>
        </w:numPr>
        <w:pBdr>
          <w:top w:val="nil"/>
          <w:left w:val="nil"/>
          <w:bottom w:val="nil"/>
          <w:right w:val="nil"/>
          <w:between w:val="nil"/>
        </w:pBdr>
        <w:tabs>
          <w:tab w:val="left" w:pos="1985"/>
        </w:tabs>
        <w:spacing w:before="120" w:after="120"/>
        <w:ind w:left="1418"/>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6430D890" w14:textId="77777777" w:rsidR="004C6C4A" w:rsidRDefault="00F059AA" w:rsidP="00AE6D01">
      <w:pPr>
        <w:numPr>
          <w:ilvl w:val="2"/>
          <w:numId w:val="2"/>
        </w:numPr>
        <w:pBdr>
          <w:top w:val="nil"/>
          <w:left w:val="nil"/>
          <w:bottom w:val="nil"/>
          <w:right w:val="nil"/>
          <w:between w:val="nil"/>
        </w:pBdr>
        <w:tabs>
          <w:tab w:val="left" w:pos="1985"/>
        </w:tabs>
        <w:spacing w:before="120" w:after="120"/>
        <w:ind w:left="1418"/>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w:t>
      </w:r>
      <w:r>
        <w:rPr>
          <w:rFonts w:ascii="Arial" w:eastAsia="Arial" w:hAnsi="Arial"/>
          <w:color w:val="000000"/>
          <w:sz w:val="24"/>
          <w:szCs w:val="24"/>
        </w:rPr>
        <w:lastRenderedPageBreak/>
        <w:t>is made within 10 Working Days of the date on which the Supplier first becomes aware of the Financial Distress Event or the fact, circumstance or matter which could cause a Financial Distress Event).</w:t>
      </w:r>
    </w:p>
    <w:p w14:paraId="40F0F151" w14:textId="77777777" w:rsidR="004C6C4A" w:rsidRDefault="00F059AA" w:rsidP="001021F5">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76668491" w14:textId="77777777" w:rsidR="004C6C4A" w:rsidRDefault="00F059AA" w:rsidP="001021F5">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14:paraId="55F8AE34"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be a single report with separate sections for each of the FDE Group </w:t>
      </w:r>
      <w:proofErr w:type="gramStart"/>
      <w:r>
        <w:rPr>
          <w:rFonts w:ascii="Arial" w:eastAsia="Arial" w:hAnsi="Arial"/>
          <w:color w:val="000000"/>
          <w:sz w:val="24"/>
          <w:szCs w:val="24"/>
        </w:rPr>
        <w:t>entities;</w:t>
      </w:r>
      <w:proofErr w:type="gramEnd"/>
    </w:p>
    <w:p w14:paraId="403FE0B9"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contain a sufficient level of information to enable the Relevant Authority to verify the calculations that have been made in respect of the Financial </w:t>
      </w:r>
      <w:proofErr w:type="gramStart"/>
      <w:r>
        <w:rPr>
          <w:rFonts w:ascii="Arial" w:eastAsia="Arial" w:hAnsi="Arial"/>
          <w:color w:val="000000"/>
          <w:sz w:val="24"/>
          <w:szCs w:val="24"/>
        </w:rPr>
        <w:t>Indicators;</w:t>
      </w:r>
      <w:proofErr w:type="gramEnd"/>
    </w:p>
    <w:p w14:paraId="6D9CFF42"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include key financial and other supporting information (including any accounts data that has been relied on) as separate </w:t>
      </w:r>
      <w:proofErr w:type="gramStart"/>
      <w:r>
        <w:rPr>
          <w:rFonts w:ascii="Arial" w:eastAsia="Arial" w:hAnsi="Arial"/>
          <w:color w:val="000000"/>
          <w:sz w:val="24"/>
          <w:szCs w:val="24"/>
        </w:rPr>
        <w:t>annexes;</w:t>
      </w:r>
      <w:proofErr w:type="gramEnd"/>
    </w:p>
    <w:p w14:paraId="3AF96FF4"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E48A98D"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14:paraId="149D4BC2" w14:textId="77777777" w:rsidR="004C6C4A" w:rsidRDefault="00F059AA" w:rsidP="001021F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14:paraId="71701A87" w14:textId="77777777" w:rsidR="004C6C4A" w:rsidRDefault="00F059AA" w:rsidP="001021F5">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74B6B110"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credit rating of an FDE Group entity dropping below the applicable Credit Rating </w:t>
      </w:r>
      <w:proofErr w:type="gramStart"/>
      <w:r>
        <w:rPr>
          <w:rFonts w:ascii="Arial" w:eastAsia="Arial" w:hAnsi="Arial"/>
          <w:color w:val="000000"/>
          <w:sz w:val="24"/>
          <w:szCs w:val="24"/>
        </w:rPr>
        <w:t>Threshold;</w:t>
      </w:r>
      <w:proofErr w:type="gramEnd"/>
    </w:p>
    <w:p w14:paraId="1FB3B51D"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an FDE Group entity issuing a profits warning to a stock exchange or making any other public announcement, in each case about a material deterioration in its financial position or </w:t>
      </w:r>
      <w:proofErr w:type="gramStart"/>
      <w:r>
        <w:rPr>
          <w:rFonts w:ascii="Arial" w:eastAsia="Arial" w:hAnsi="Arial"/>
          <w:color w:val="000000"/>
          <w:sz w:val="24"/>
          <w:szCs w:val="24"/>
        </w:rPr>
        <w:t>prospects;</w:t>
      </w:r>
      <w:proofErr w:type="gramEnd"/>
    </w:p>
    <w:p w14:paraId="4C37EE94"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an FDE Group </w:t>
      </w:r>
      <w:proofErr w:type="gramStart"/>
      <w:r>
        <w:rPr>
          <w:rFonts w:ascii="Arial" w:eastAsia="Arial" w:hAnsi="Arial"/>
          <w:color w:val="000000"/>
          <w:sz w:val="24"/>
          <w:szCs w:val="24"/>
        </w:rPr>
        <w:t>entity;</w:t>
      </w:r>
      <w:proofErr w:type="gramEnd"/>
    </w:p>
    <w:p w14:paraId="18C883D4"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an FDE Group entity committing a material breach of covenant to its </w:t>
      </w:r>
      <w:proofErr w:type="gramStart"/>
      <w:r>
        <w:rPr>
          <w:rFonts w:ascii="Arial" w:eastAsia="Arial" w:hAnsi="Arial"/>
          <w:color w:val="000000"/>
          <w:sz w:val="24"/>
          <w:szCs w:val="24"/>
        </w:rPr>
        <w:t>lenders;</w:t>
      </w:r>
      <w:proofErr w:type="gramEnd"/>
    </w:p>
    <w:p w14:paraId="5F760A3F"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 Key Sub-contractor notifying CCS or the Buyer that the Supplier has not satisfied any material sums properly due under a specified invoice and not subject to a genuine </w:t>
      </w:r>
      <w:proofErr w:type="gramStart"/>
      <w:r>
        <w:rPr>
          <w:rFonts w:ascii="Arial" w:eastAsia="Arial" w:hAnsi="Arial"/>
          <w:color w:val="000000"/>
          <w:sz w:val="24"/>
          <w:szCs w:val="24"/>
        </w:rPr>
        <w:t>dispute;</w:t>
      </w:r>
      <w:proofErr w:type="gramEnd"/>
    </w:p>
    <w:p w14:paraId="4E73EF7F"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any of the following:</w:t>
      </w:r>
    </w:p>
    <w:p w14:paraId="50B7C875" w14:textId="77777777" w:rsidR="004C6C4A" w:rsidRDefault="00F059AA" w:rsidP="001021F5">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commencement of any litigation against an FDE Group entity with respect to financial indebtedness greater than £5m or obligations under a service contract with a total contract value greater than £</w:t>
      </w:r>
      <w:proofErr w:type="gramStart"/>
      <w:r>
        <w:rPr>
          <w:rFonts w:ascii="Arial" w:eastAsia="Arial" w:hAnsi="Arial"/>
          <w:color w:val="000000"/>
          <w:sz w:val="24"/>
          <w:szCs w:val="24"/>
        </w:rPr>
        <w:t>5m;</w:t>
      </w:r>
      <w:proofErr w:type="gramEnd"/>
      <w:r>
        <w:rPr>
          <w:rFonts w:ascii="Arial" w:eastAsia="Arial" w:hAnsi="Arial"/>
          <w:color w:val="000000"/>
          <w:sz w:val="24"/>
          <w:szCs w:val="24"/>
        </w:rPr>
        <w:t xml:space="preserve"> </w:t>
      </w:r>
    </w:p>
    <w:p w14:paraId="35920ADE" w14:textId="77777777" w:rsidR="004C6C4A" w:rsidRDefault="00F059AA" w:rsidP="001021F5">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non-payment by an FDE Group entity of any financial </w:t>
      </w:r>
      <w:proofErr w:type="gramStart"/>
      <w:r>
        <w:rPr>
          <w:rFonts w:ascii="Arial" w:eastAsia="Arial" w:hAnsi="Arial"/>
          <w:color w:val="000000"/>
          <w:sz w:val="24"/>
          <w:szCs w:val="24"/>
        </w:rPr>
        <w:t>indebtedness;</w:t>
      </w:r>
      <w:proofErr w:type="gramEnd"/>
    </w:p>
    <w:p w14:paraId="3EB7C2BC" w14:textId="77777777" w:rsidR="004C6C4A" w:rsidRDefault="00F059AA" w:rsidP="001021F5">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any financial indebtedness of an FDE Group entity becoming due as a result of an event of </w:t>
      </w:r>
      <w:proofErr w:type="gramStart"/>
      <w:r>
        <w:rPr>
          <w:rFonts w:ascii="Arial" w:eastAsia="Arial" w:hAnsi="Arial"/>
          <w:color w:val="000000"/>
          <w:sz w:val="24"/>
          <w:szCs w:val="24"/>
        </w:rPr>
        <w:t>default;</w:t>
      </w:r>
      <w:proofErr w:type="gramEnd"/>
    </w:p>
    <w:p w14:paraId="2AB68934" w14:textId="77777777" w:rsidR="004C6C4A" w:rsidRDefault="00F059AA" w:rsidP="001021F5">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37BA60BD" w14:textId="77777777" w:rsidR="004C6C4A" w:rsidRDefault="00F059AA" w:rsidP="001021F5">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the external auditor of an FDE Group entity expressing a qualified opinion on, or including an emphasis of matter in, its opinion on the statutory accounts of that FDE </w:t>
      </w:r>
      <w:proofErr w:type="gramStart"/>
      <w:r>
        <w:rPr>
          <w:rFonts w:ascii="Arial" w:eastAsia="Arial" w:hAnsi="Arial"/>
          <w:color w:val="000000"/>
          <w:sz w:val="24"/>
          <w:szCs w:val="24"/>
        </w:rPr>
        <w:t>entity;</w:t>
      </w:r>
      <w:proofErr w:type="gramEnd"/>
    </w:p>
    <w:p w14:paraId="041E0C21" w14:textId="77777777" w:rsidR="004C6C4A" w:rsidRDefault="00F059AA">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0FC3FCD2" w14:textId="77777777" w:rsidR="004C6C4A" w:rsidRDefault="00F059AA" w:rsidP="001021F5">
      <w:pPr>
        <w:numPr>
          <w:ilvl w:val="2"/>
          <w:numId w:val="2"/>
        </w:numPr>
        <w:pBdr>
          <w:top w:val="nil"/>
          <w:left w:val="nil"/>
          <w:bottom w:val="nil"/>
          <w:right w:val="nil"/>
          <w:between w:val="nil"/>
        </w:pBdr>
        <w:tabs>
          <w:tab w:val="left" w:pos="1985"/>
        </w:tabs>
        <w:spacing w:before="120" w:after="120"/>
        <w:rPr>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6CC6CBEB" w14:textId="77777777" w:rsidR="004C6C4A" w:rsidRDefault="00F059AA" w:rsidP="001021F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14:paraId="2189E917" w14:textId="77777777" w:rsidR="004C6C4A" w:rsidRDefault="00F059AA" w:rsidP="001021F5">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4CEDB1F2" w14:textId="77777777" w:rsidR="004B6433" w:rsidRDefault="00F059AA" w:rsidP="004B643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611A8173" w14:textId="77777777" w:rsidR="004B6433" w:rsidRPr="004B6433" w:rsidRDefault="00F059AA" w:rsidP="004B6433">
      <w:pPr>
        <w:pStyle w:val="GPSL3numberedclause"/>
        <w:rPr>
          <w:rFonts w:ascii="Arial" w:eastAsia="Arial" w:hAnsi="Arial"/>
          <w:color w:val="000000"/>
          <w:sz w:val="24"/>
          <w:szCs w:val="24"/>
        </w:rPr>
      </w:pPr>
      <w:r w:rsidRPr="004B6433">
        <w:rPr>
          <w:rFonts w:ascii="Arial" w:eastAsia="Arial" w:hAnsi="Arial"/>
          <w:color w:val="000000"/>
          <w:sz w:val="24"/>
          <w:szCs w:val="24"/>
        </w:rPr>
        <w:t>rectify such late or non-payment; or</w:t>
      </w:r>
    </w:p>
    <w:p w14:paraId="0248E9DE" w14:textId="7684D634" w:rsidR="004C6C4A" w:rsidRPr="004B6433" w:rsidRDefault="00F059AA" w:rsidP="004B6433">
      <w:pPr>
        <w:pStyle w:val="GPSL3numberedclause"/>
        <w:rPr>
          <w:rFonts w:eastAsia="Arial"/>
        </w:rPr>
      </w:pPr>
      <w:r w:rsidRPr="004B6433">
        <w:rPr>
          <w:rFonts w:ascii="Arial" w:eastAsia="Arial" w:hAnsi="Arial"/>
          <w:color w:val="000000"/>
          <w:sz w:val="24"/>
          <w:szCs w:val="24"/>
        </w:rPr>
        <w:t>demonstrate to the Relevant Authority’s reasonable satisfaction that there is a valid reason for late or non-payment.</w:t>
      </w:r>
    </w:p>
    <w:p w14:paraId="4240A37E" w14:textId="56112B81" w:rsidR="004C6C4A" w:rsidRDefault="00F059AA" w:rsidP="001021F5">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w:t>
      </w:r>
      <w:r w:rsidR="007621A3">
        <w:rPr>
          <w:rFonts w:ascii="Arial" w:eastAsia="Arial" w:hAnsi="Arial"/>
          <w:color w:val="000000"/>
          <w:sz w:val="24"/>
          <w:szCs w:val="24"/>
        </w:rPr>
        <w:t xml:space="preserve"> r</w:t>
      </w:r>
      <w:r>
        <w:rPr>
          <w:rFonts w:ascii="Arial" w:eastAsia="Arial" w:hAnsi="Arial"/>
          <w:color w:val="000000"/>
          <w:sz w:val="24"/>
          <w:szCs w:val="24"/>
        </w:rPr>
        <w:t>elevant Key Sub-contractor shall):</w:t>
      </w:r>
    </w:p>
    <w:p w14:paraId="44CCFB4E"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w:t>
      </w:r>
      <w:r>
        <w:rPr>
          <w:rFonts w:ascii="Arial" w:eastAsia="Arial" w:hAnsi="Arial"/>
          <w:color w:val="000000"/>
          <w:sz w:val="24"/>
          <w:szCs w:val="24"/>
        </w:rPr>
        <w:lastRenderedPageBreak/>
        <w:t>the continued performance and delivery of the Services in accordance with the Contract; and</w:t>
      </w:r>
    </w:p>
    <w:p w14:paraId="06D1CAB6" w14:textId="77777777" w:rsidR="004C6C4A" w:rsidRDefault="00F059AA" w:rsidP="001021F5">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and delivery of the Deliverables in accordance with the Contract:</w:t>
      </w:r>
    </w:p>
    <w:p w14:paraId="78355475" w14:textId="77777777" w:rsidR="004B6433" w:rsidRDefault="00F059AA" w:rsidP="004B6433">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14:paraId="1D678E3E" w14:textId="34007A07" w:rsidR="004B6433" w:rsidRDefault="00F059AA" w:rsidP="004B6433">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sidRPr="004B6433">
        <w:rPr>
          <w:rFonts w:ascii="Arial" w:eastAsia="Arial" w:hAnsi="Arial"/>
          <w:color w:val="000000"/>
          <w:sz w:val="24"/>
          <w:szCs w:val="24"/>
        </w:rPr>
        <w:t>to the extent that it is legally permitted to do so and subject to Paragraph 4.8, provide such information relating to the</w:t>
      </w:r>
      <w:r w:rsidR="00252E7B" w:rsidRPr="004B6433">
        <w:rPr>
          <w:rFonts w:ascii="Arial" w:eastAsia="Arial" w:hAnsi="Arial"/>
          <w:color w:val="000000"/>
          <w:sz w:val="24"/>
          <w:szCs w:val="24"/>
        </w:rPr>
        <w:t xml:space="preserve"> Supplier, </w:t>
      </w:r>
      <w:r w:rsidRPr="004B6433">
        <w:rPr>
          <w:rFonts w:ascii="Arial" w:eastAsia="Arial" w:hAnsi="Arial"/>
          <w:color w:val="000000"/>
          <w:sz w:val="24"/>
          <w:szCs w:val="24"/>
        </w:rPr>
        <w:t>Key Sub-contractors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72F82E81" w14:textId="77777777" w:rsidR="004B6433" w:rsidRDefault="00F059AA" w:rsidP="004B643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sidRPr="004B6433">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16251781" w14:textId="77777777" w:rsidR="004B6433" w:rsidRDefault="00F059AA" w:rsidP="004B643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sidRPr="004B6433">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622DDDE8" w14:textId="77777777" w:rsidR="004B6433" w:rsidRDefault="00F059AA" w:rsidP="004B643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sidRPr="004B6433">
        <w:rPr>
          <w:rFonts w:ascii="Arial" w:eastAsia="Arial" w:hAnsi="Arial"/>
          <w:color w:val="000000"/>
          <w:sz w:val="24"/>
          <w:szCs w:val="24"/>
        </w:rPr>
        <w:t>Following approval of the Financial Distress Remediation Plan by the Relevant Authority, the Supplier shall:</w:t>
      </w:r>
    </w:p>
    <w:p w14:paraId="4E1B51C8" w14:textId="59C47E4B" w:rsidR="004C6C4A" w:rsidRPr="004B6433" w:rsidRDefault="00F059AA" w:rsidP="004B6433">
      <w:pPr>
        <w:pStyle w:val="GPSL3numberedclause"/>
        <w:rPr>
          <w:rFonts w:ascii="Arial" w:eastAsia="Arial" w:hAnsi="Arial"/>
          <w:sz w:val="24"/>
          <w:szCs w:val="24"/>
        </w:rPr>
      </w:pPr>
      <w:r w:rsidRPr="004B6433">
        <w:rPr>
          <w:rFonts w:ascii="Arial" w:eastAsia="Arial" w:hAnsi="Arial"/>
          <w:sz w:val="24"/>
          <w:szCs w:val="24"/>
        </w:rPr>
        <w:t>on a regular basis (which shall not be less than fortnightly):</w:t>
      </w:r>
    </w:p>
    <w:p w14:paraId="091D511B" w14:textId="77777777" w:rsidR="004C6C4A" w:rsidRDefault="00F059AA" w:rsidP="004B6433">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review and make any updates to the Financial Distress Remediation Plan as the Supplier may deem reasonably necessary and/or as may be reasonably requested by the Relevant Authority, so that the plan </w:t>
      </w:r>
      <w:r>
        <w:rPr>
          <w:rFonts w:ascii="Arial" w:eastAsia="Arial" w:hAnsi="Arial"/>
          <w:color w:val="000000"/>
          <w:sz w:val="24"/>
          <w:szCs w:val="24"/>
        </w:rPr>
        <w:lastRenderedPageBreak/>
        <w:t>remains adequate, up to date and ensures the continued performance and delivery of the Deliverables in accordance with this Contract; and</w:t>
      </w:r>
    </w:p>
    <w:p w14:paraId="44BD3E6B" w14:textId="77777777" w:rsidR="004C6C4A" w:rsidRDefault="00F059AA" w:rsidP="004B6433">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w:t>
      </w:r>
      <w:proofErr w:type="gramStart"/>
      <w:r>
        <w:rPr>
          <w:rFonts w:ascii="Arial" w:eastAsia="Arial" w:hAnsi="Arial"/>
          <w:color w:val="000000"/>
          <w:sz w:val="24"/>
          <w:szCs w:val="24"/>
        </w:rPr>
        <w:t>changes;</w:t>
      </w:r>
      <w:proofErr w:type="gramEnd"/>
    </w:p>
    <w:p w14:paraId="2B105EE5" w14:textId="77777777" w:rsidR="004C6C4A" w:rsidRPr="004B6433" w:rsidRDefault="00F059AA" w:rsidP="004B6433">
      <w:pPr>
        <w:pStyle w:val="GPSL3numberedclause"/>
        <w:rPr>
          <w:rFonts w:ascii="Arial" w:eastAsia="Arial" w:hAnsi="Arial"/>
          <w:sz w:val="24"/>
          <w:szCs w:val="24"/>
        </w:rPr>
      </w:pPr>
      <w:r>
        <w:rPr>
          <w:rFonts w:ascii="Arial" w:eastAsia="Arial" w:hAnsi="Arial"/>
          <w:color w:val="000000"/>
          <w:sz w:val="24"/>
          <w:szCs w:val="24"/>
        </w:rPr>
        <w:t xml:space="preserve">where updates are made to the Financial Distress Remediation Plan in accordance with Paragraph 4.6.1, submit an updated Financial Distress Remediation Plan to the Relevant Authority for its approval, and the provisions of Paragraphs 4.4 </w:t>
      </w:r>
      <w:r w:rsidRPr="004B6433">
        <w:rPr>
          <w:rFonts w:ascii="Arial" w:eastAsia="Arial" w:hAnsi="Arial"/>
          <w:sz w:val="24"/>
          <w:szCs w:val="24"/>
        </w:rPr>
        <w:t>and 4.5 shall apply to the review and approval process for the updated Financial Distress Remediation Plan; and</w:t>
      </w:r>
    </w:p>
    <w:p w14:paraId="2E1550BB" w14:textId="77777777" w:rsidR="004C6C4A" w:rsidRDefault="00F059AA" w:rsidP="004B6433">
      <w:pPr>
        <w:pStyle w:val="GPSL3numberedclause"/>
        <w:rPr>
          <w:rFonts w:ascii="Arial" w:eastAsia="Arial" w:hAnsi="Arial"/>
          <w:color w:val="000000"/>
          <w:sz w:val="24"/>
          <w:szCs w:val="24"/>
        </w:rPr>
      </w:pPr>
      <w:r w:rsidRPr="004B6433">
        <w:rPr>
          <w:rFonts w:ascii="Arial" w:eastAsia="Arial" w:hAnsi="Arial"/>
          <w:sz w:val="24"/>
          <w:szCs w:val="24"/>
        </w:rPr>
        <w:t>comply with the Financial Distress Remediation Plan (including any u</w:t>
      </w:r>
      <w:r>
        <w:rPr>
          <w:rFonts w:ascii="Arial" w:eastAsia="Arial" w:hAnsi="Arial"/>
          <w:color w:val="000000"/>
          <w:sz w:val="24"/>
          <w:szCs w:val="24"/>
        </w:rPr>
        <w:t>pdated Financial Distress Remediation Plan) and ensure that it achieves the financial and performance requirements set out in the Financial Distress Remediation Plan.</w:t>
      </w:r>
    </w:p>
    <w:p w14:paraId="02C6F219" w14:textId="77777777" w:rsidR="004C6C4A" w:rsidRDefault="00F059AA" w:rsidP="004B643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1BB989D2" w14:textId="77777777" w:rsidR="00AE6D01" w:rsidRDefault="00F059AA" w:rsidP="00AE6D01">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720D2594" w14:textId="447D208B" w:rsidR="00AE6D01" w:rsidRDefault="00F059AA" w:rsidP="00AE6D01">
      <w:pPr>
        <w:pStyle w:val="GPSL3numberedclause"/>
        <w:rPr>
          <w:rFonts w:ascii="Arial" w:eastAsia="Arial" w:hAnsi="Arial"/>
          <w:color w:val="000000"/>
          <w:sz w:val="24"/>
          <w:szCs w:val="24"/>
        </w:rPr>
      </w:pPr>
      <w:r w:rsidRPr="00AE6D01">
        <w:rPr>
          <w:rFonts w:ascii="Arial" w:eastAsia="Arial" w:hAnsi="Arial"/>
          <w:color w:val="000000"/>
          <w:sz w:val="24"/>
          <w:szCs w:val="24"/>
        </w:rPr>
        <w:t>obtaining in advance written authority from Key Sub-contractors</w:t>
      </w:r>
      <w:r w:rsidRPr="00AE6D01">
        <w:rPr>
          <w:rFonts w:ascii="Arial" w:eastAsia="Arial" w:hAnsi="Arial"/>
          <w:sz w:val="24"/>
          <w:szCs w:val="24"/>
        </w:rPr>
        <w:t xml:space="preserve"> </w:t>
      </w:r>
      <w:proofErr w:type="gramStart"/>
      <w:r w:rsidRPr="00AE6D01">
        <w:rPr>
          <w:rFonts w:ascii="Arial" w:eastAsia="Arial" w:hAnsi="Arial"/>
          <w:sz w:val="24"/>
          <w:szCs w:val="24"/>
        </w:rPr>
        <w:t>and</w:t>
      </w:r>
      <w:r w:rsidRPr="00AE6D01">
        <w:rPr>
          <w:rFonts w:ascii="Arial" w:eastAsia="Arial" w:hAnsi="Arial"/>
          <w:color w:val="000000"/>
          <w:sz w:val="24"/>
          <w:szCs w:val="24"/>
        </w:rPr>
        <w:t xml:space="preserve">  authorising</w:t>
      </w:r>
      <w:proofErr w:type="gramEnd"/>
      <w:r w:rsidRPr="00AE6D01">
        <w:rPr>
          <w:rFonts w:ascii="Arial" w:eastAsia="Arial" w:hAnsi="Arial"/>
          <w:color w:val="000000"/>
          <w:sz w:val="24"/>
          <w:szCs w:val="24"/>
        </w:rPr>
        <w:t xml:space="preserve"> the disclosure of the information to the Buyer and/or entering into confidentiality agreements which permit disclosure;</w:t>
      </w:r>
    </w:p>
    <w:p w14:paraId="7F5AC0CE" w14:textId="161C3391" w:rsidR="00AE6D01" w:rsidRDefault="00F059AA" w:rsidP="00AE6D01">
      <w:pPr>
        <w:pStyle w:val="GPSL3numberedclause"/>
        <w:rPr>
          <w:rFonts w:ascii="Arial" w:eastAsia="Arial" w:hAnsi="Arial"/>
          <w:color w:val="000000"/>
          <w:sz w:val="24"/>
          <w:szCs w:val="24"/>
        </w:rPr>
      </w:pPr>
      <w:r w:rsidRPr="00AE6D01">
        <w:rPr>
          <w:rFonts w:ascii="Arial" w:eastAsia="Arial" w:hAnsi="Arial"/>
          <w:color w:val="000000"/>
          <w:sz w:val="24"/>
          <w:szCs w:val="24"/>
        </w:rPr>
        <w:t>agreeing in advance with the Relevant Authority, Key Sub-contractors</w:t>
      </w:r>
      <w:r w:rsidR="007621A3">
        <w:rPr>
          <w:rStyle w:val="CommentReference"/>
        </w:rPr>
        <w:t xml:space="preserve"> </w:t>
      </w:r>
      <w:r w:rsidRPr="00AE6D01">
        <w:rPr>
          <w:rFonts w:ascii="Arial" w:eastAsia="Arial" w:hAnsi="Arial"/>
          <w:color w:val="000000"/>
          <w:sz w:val="24"/>
          <w:szCs w:val="24"/>
        </w:rPr>
        <w:t xml:space="preserve">a form of confidentiality agreement to be entered by the relevant parties to enable the disclosure of the information to the Relevant </w:t>
      </w:r>
      <w:proofErr w:type="gramStart"/>
      <w:r w:rsidRPr="00AE6D01">
        <w:rPr>
          <w:rFonts w:ascii="Arial" w:eastAsia="Arial" w:hAnsi="Arial"/>
          <w:color w:val="000000"/>
          <w:sz w:val="24"/>
          <w:szCs w:val="24"/>
        </w:rPr>
        <w:t>Authority;</w:t>
      </w:r>
      <w:proofErr w:type="gramEnd"/>
    </w:p>
    <w:p w14:paraId="22752C6C" w14:textId="77777777" w:rsidR="00AE6D01" w:rsidRDefault="00F059AA" w:rsidP="00AE6D01">
      <w:pPr>
        <w:pStyle w:val="GPSL3numberedclause"/>
        <w:rPr>
          <w:rFonts w:ascii="Arial" w:eastAsia="Arial" w:hAnsi="Arial"/>
          <w:color w:val="000000"/>
          <w:sz w:val="24"/>
          <w:szCs w:val="24"/>
        </w:rPr>
      </w:pPr>
      <w:r w:rsidRPr="00AE6D01">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49047C3B" w14:textId="4C70E7B0" w:rsidR="004C6C4A" w:rsidRPr="00AE6D01" w:rsidRDefault="00F059AA" w:rsidP="00AE6D01">
      <w:pPr>
        <w:pStyle w:val="GPSL3numberedclause"/>
        <w:rPr>
          <w:rFonts w:ascii="Arial" w:eastAsia="Arial" w:hAnsi="Arial"/>
          <w:color w:val="000000"/>
          <w:sz w:val="24"/>
          <w:szCs w:val="24"/>
        </w:rPr>
      </w:pPr>
      <w:r w:rsidRPr="00AE6D01">
        <w:rPr>
          <w:rFonts w:ascii="Arial" w:eastAsia="Arial" w:hAnsi="Arial"/>
          <w:color w:val="000000"/>
          <w:sz w:val="24"/>
          <w:szCs w:val="24"/>
        </w:rPr>
        <w:t xml:space="preserve">disclosing the information to the fullest extent that it is lawfully entitled to do so, including through the use of redaction, </w:t>
      </w:r>
      <w:r w:rsidRPr="00AE6D01">
        <w:rPr>
          <w:rFonts w:ascii="Arial" w:eastAsia="Arial" w:hAnsi="Arial"/>
          <w:color w:val="000000"/>
          <w:sz w:val="24"/>
          <w:szCs w:val="24"/>
        </w:rPr>
        <w:lastRenderedPageBreak/>
        <w:t>anonymisation and any other techniques to permit disclosure of the information without breaching a duty of confidentiality.</w:t>
      </w:r>
    </w:p>
    <w:p w14:paraId="4C1EACCA" w14:textId="77777777" w:rsidR="004C6C4A" w:rsidRDefault="00F059AA" w:rsidP="00AE6D01">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14:paraId="2962FEC6" w14:textId="77777777" w:rsidR="00BD1A9E" w:rsidRPr="006F621C" w:rsidRDefault="00BD1A9E" w:rsidP="006F621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sidRPr="006F621C">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53"/>
        <w:gridCol w:w="1977"/>
        <w:gridCol w:w="1697"/>
        <w:gridCol w:w="3089"/>
      </w:tblGrid>
      <w:tr w:rsidR="00BD1A9E" w:rsidRPr="00C50B0F" w14:paraId="452B2D5B" w14:textId="77777777" w:rsidTr="00D90FB1">
        <w:tc>
          <w:tcPr>
            <w:tcW w:w="2253" w:type="dxa"/>
            <w:shd w:val="clear" w:color="auto" w:fill="D9D9D9" w:themeFill="background1" w:themeFillShade="D9"/>
            <w:vAlign w:val="center"/>
          </w:tcPr>
          <w:p w14:paraId="55D4B4FD" w14:textId="77777777" w:rsidR="00BD1A9E" w:rsidRPr="00C50B0F" w:rsidRDefault="00BD1A9E" w:rsidP="00D90FB1">
            <w:pPr>
              <w:pBdr>
                <w:top w:val="nil"/>
                <w:left w:val="nil"/>
                <w:bottom w:val="nil"/>
                <w:right w:val="nil"/>
                <w:between w:val="nil"/>
              </w:pBdr>
              <w:spacing w:before="100" w:after="200"/>
              <w:jc w:val="center"/>
              <w:rPr>
                <w:rFonts w:ascii="Arial" w:eastAsia="Arial" w:hAnsi="Arial"/>
                <w:b/>
                <w:color w:val="000000"/>
                <w:sz w:val="24"/>
                <w:szCs w:val="24"/>
              </w:rPr>
            </w:pPr>
            <w:r w:rsidRPr="00C50B0F">
              <w:rPr>
                <w:rFonts w:ascii="Arial" w:eastAsia="Arial" w:hAnsi="Arial"/>
                <w:b/>
                <w:color w:val="000000"/>
                <w:sz w:val="24"/>
                <w:szCs w:val="24"/>
              </w:rPr>
              <w:t>Financial Indicator</w:t>
            </w:r>
          </w:p>
        </w:tc>
        <w:tc>
          <w:tcPr>
            <w:tcW w:w="1977" w:type="dxa"/>
            <w:shd w:val="clear" w:color="auto" w:fill="D9D9D9" w:themeFill="background1" w:themeFillShade="D9"/>
            <w:vAlign w:val="center"/>
          </w:tcPr>
          <w:p w14:paraId="5C303D8D" w14:textId="77777777" w:rsidR="00BD1A9E" w:rsidRPr="00C50B0F" w:rsidRDefault="00BD1A9E" w:rsidP="00D90FB1">
            <w:pPr>
              <w:pBdr>
                <w:top w:val="nil"/>
                <w:left w:val="nil"/>
                <w:bottom w:val="nil"/>
                <w:right w:val="nil"/>
                <w:between w:val="nil"/>
              </w:pBdr>
              <w:spacing w:before="100" w:after="200"/>
              <w:jc w:val="center"/>
              <w:rPr>
                <w:rFonts w:ascii="Arial" w:eastAsia="Arial" w:hAnsi="Arial"/>
                <w:b/>
                <w:color w:val="000000"/>
                <w:sz w:val="24"/>
                <w:szCs w:val="24"/>
              </w:rPr>
            </w:pPr>
            <w:r w:rsidRPr="00C50B0F">
              <w:rPr>
                <w:rFonts w:ascii="Arial" w:eastAsia="Arial" w:hAnsi="Arial"/>
                <w:b/>
                <w:color w:val="000000"/>
                <w:sz w:val="24"/>
                <w:szCs w:val="24"/>
              </w:rPr>
              <w:t>Calculation</w:t>
            </w:r>
            <w:r w:rsidRPr="00C50B0F">
              <w:rPr>
                <w:rFonts w:ascii="Arial" w:eastAsia="Arial" w:hAnsi="Arial"/>
                <w:b/>
                <w:color w:val="000000"/>
                <w:sz w:val="24"/>
                <w:szCs w:val="24"/>
                <w:vertAlign w:val="superscript"/>
              </w:rPr>
              <w:t>1</w:t>
            </w:r>
          </w:p>
        </w:tc>
        <w:tc>
          <w:tcPr>
            <w:tcW w:w="1697" w:type="dxa"/>
            <w:shd w:val="clear" w:color="auto" w:fill="D9D9D9" w:themeFill="background1" w:themeFillShade="D9"/>
            <w:vAlign w:val="center"/>
          </w:tcPr>
          <w:p w14:paraId="41B63CCA" w14:textId="77777777" w:rsidR="00BD1A9E" w:rsidRPr="00C50B0F" w:rsidRDefault="00BD1A9E" w:rsidP="00D90FB1">
            <w:pPr>
              <w:pBdr>
                <w:top w:val="nil"/>
                <w:left w:val="nil"/>
                <w:bottom w:val="nil"/>
                <w:right w:val="nil"/>
                <w:between w:val="nil"/>
              </w:pBdr>
              <w:spacing w:before="100" w:after="200"/>
              <w:jc w:val="center"/>
              <w:rPr>
                <w:rFonts w:ascii="Arial" w:eastAsia="Arial" w:hAnsi="Arial"/>
                <w:b/>
                <w:color w:val="000000"/>
                <w:sz w:val="24"/>
                <w:szCs w:val="24"/>
              </w:rPr>
            </w:pPr>
            <w:r w:rsidRPr="00C50B0F">
              <w:rPr>
                <w:rFonts w:ascii="Arial" w:eastAsia="Arial" w:hAnsi="Arial"/>
                <w:b/>
                <w:color w:val="000000"/>
                <w:sz w:val="24"/>
                <w:szCs w:val="24"/>
              </w:rPr>
              <w:t>Financial Target Threshold:</w:t>
            </w:r>
          </w:p>
        </w:tc>
        <w:tc>
          <w:tcPr>
            <w:tcW w:w="3089" w:type="dxa"/>
            <w:shd w:val="clear" w:color="auto" w:fill="D9D9D9" w:themeFill="background1" w:themeFillShade="D9"/>
            <w:vAlign w:val="center"/>
          </w:tcPr>
          <w:p w14:paraId="0746E0D0" w14:textId="77777777" w:rsidR="00BD1A9E" w:rsidRPr="00C50B0F" w:rsidRDefault="00BD1A9E" w:rsidP="00D90FB1">
            <w:pPr>
              <w:pBdr>
                <w:top w:val="nil"/>
                <w:left w:val="nil"/>
                <w:bottom w:val="nil"/>
                <w:right w:val="nil"/>
                <w:between w:val="nil"/>
              </w:pBdr>
              <w:spacing w:before="100" w:after="200"/>
              <w:jc w:val="center"/>
              <w:rPr>
                <w:rFonts w:ascii="Arial" w:eastAsia="Arial" w:hAnsi="Arial"/>
                <w:b/>
                <w:color w:val="000000"/>
                <w:sz w:val="24"/>
                <w:szCs w:val="24"/>
              </w:rPr>
            </w:pPr>
            <w:r w:rsidRPr="00C50B0F">
              <w:rPr>
                <w:rFonts w:ascii="Arial" w:eastAsia="Arial" w:hAnsi="Arial"/>
                <w:b/>
                <w:color w:val="000000"/>
                <w:sz w:val="24"/>
                <w:szCs w:val="24"/>
              </w:rPr>
              <w:t>Monitoring and Reporting Frequency if different from the default position set out in Paragraph 2.3(b)</w:t>
            </w:r>
          </w:p>
        </w:tc>
      </w:tr>
      <w:tr w:rsidR="00BD1A9E" w14:paraId="51552BC5" w14:textId="77777777" w:rsidTr="00D90FB1">
        <w:tc>
          <w:tcPr>
            <w:tcW w:w="2253" w:type="dxa"/>
            <w:vAlign w:val="center"/>
          </w:tcPr>
          <w:p w14:paraId="2477D2D4" w14:textId="77777777" w:rsidR="00BD1A9E" w:rsidRDefault="00BD1A9E" w:rsidP="00D90FB1">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23DFCF88" w14:textId="77777777" w:rsidR="00BD1A9E" w:rsidRPr="00C50B0F" w:rsidRDefault="00BD1A9E" w:rsidP="00D90FB1">
            <w:pPr>
              <w:pBdr>
                <w:top w:val="nil"/>
                <w:left w:val="nil"/>
                <w:bottom w:val="nil"/>
                <w:right w:val="nil"/>
                <w:between w:val="nil"/>
              </w:pBdr>
              <w:spacing w:before="100" w:after="200"/>
              <w:jc w:val="left"/>
              <w:rPr>
                <w:rFonts w:ascii="Arial" w:eastAsia="Arial" w:hAnsi="Arial"/>
                <w:b/>
                <w:color w:val="000000"/>
                <w:sz w:val="24"/>
                <w:szCs w:val="24"/>
              </w:rPr>
            </w:pPr>
            <w:r w:rsidRPr="00C50B0F">
              <w:rPr>
                <w:rFonts w:ascii="Arial" w:eastAsia="Arial" w:hAnsi="Arial"/>
                <w:b/>
                <w:color w:val="000000"/>
                <w:sz w:val="24"/>
                <w:szCs w:val="24"/>
              </w:rPr>
              <w:t>The higher of (a) the Operating Margin for the most recent 12-month period and (b) the average Operating Margin for the last two 12-month periods</w:t>
            </w:r>
          </w:p>
        </w:tc>
        <w:tc>
          <w:tcPr>
            <w:tcW w:w="1977" w:type="dxa"/>
            <w:vAlign w:val="center"/>
          </w:tcPr>
          <w:p w14:paraId="5C2956F1" w14:textId="77777777" w:rsidR="00BD1A9E" w:rsidRPr="00C50B0F" w:rsidRDefault="00BD1A9E" w:rsidP="00D90FB1">
            <w:pPr>
              <w:pBdr>
                <w:top w:val="nil"/>
                <w:left w:val="nil"/>
                <w:bottom w:val="nil"/>
                <w:right w:val="nil"/>
                <w:between w:val="nil"/>
              </w:pBdr>
              <w:spacing w:before="100" w:after="200"/>
              <w:jc w:val="center"/>
              <w:rPr>
                <w:rFonts w:ascii="Arial" w:eastAsia="Arial" w:hAnsi="Arial"/>
                <w:i/>
                <w:color w:val="000000"/>
                <w:sz w:val="24"/>
                <w:szCs w:val="24"/>
              </w:rPr>
            </w:pPr>
            <w:r w:rsidRPr="00C50B0F">
              <w:rPr>
                <w:rFonts w:ascii="Arial" w:eastAsia="Arial" w:hAnsi="Arial"/>
                <w:i/>
                <w:color w:val="000000"/>
                <w:sz w:val="24"/>
                <w:szCs w:val="24"/>
              </w:rPr>
              <w:t>Operating Margin = Operating Profit / Revenue</w:t>
            </w:r>
          </w:p>
        </w:tc>
        <w:tc>
          <w:tcPr>
            <w:tcW w:w="1697" w:type="dxa"/>
            <w:vAlign w:val="center"/>
          </w:tcPr>
          <w:p w14:paraId="38F940C8" w14:textId="77777777" w:rsidR="00BD1A9E" w:rsidRPr="00C50B0F" w:rsidRDefault="00BD1A9E" w:rsidP="00D90FB1">
            <w:pPr>
              <w:spacing w:before="100" w:after="200"/>
              <w:jc w:val="center"/>
              <w:rPr>
                <w:rFonts w:ascii="Arial" w:eastAsia="Arial" w:hAnsi="Arial"/>
                <w:i/>
                <w:color w:val="000000"/>
                <w:sz w:val="24"/>
                <w:szCs w:val="24"/>
              </w:rPr>
            </w:pPr>
            <w:r w:rsidRPr="00C50B0F">
              <w:rPr>
                <w:rFonts w:ascii="Arial" w:eastAsia="Arial" w:hAnsi="Arial"/>
                <w:i/>
                <w:color w:val="000000"/>
                <w:sz w:val="24"/>
                <w:szCs w:val="24"/>
              </w:rPr>
              <w:t>&gt; 5% 5% or higher than 5%</w:t>
            </w:r>
          </w:p>
        </w:tc>
        <w:tc>
          <w:tcPr>
            <w:tcW w:w="3089" w:type="dxa"/>
            <w:vAlign w:val="center"/>
          </w:tcPr>
          <w:p w14:paraId="4D36FB58" w14:textId="77777777" w:rsidR="00BD1A9E" w:rsidRDefault="00BD1A9E" w:rsidP="00D90FB1">
            <w:pPr>
              <w:pBdr>
                <w:top w:val="nil"/>
                <w:left w:val="nil"/>
                <w:bottom w:val="nil"/>
                <w:right w:val="nil"/>
                <w:between w:val="nil"/>
              </w:pBdr>
              <w:spacing w:before="100" w:after="200"/>
              <w:jc w:val="center"/>
              <w:rPr>
                <w:rFonts w:ascii="Arial" w:eastAsia="Arial" w:hAnsi="Arial"/>
                <w:i/>
                <w:color w:val="000000"/>
                <w:sz w:val="24"/>
                <w:szCs w:val="24"/>
              </w:rPr>
            </w:pPr>
            <w:r w:rsidRPr="00C50B0F">
              <w:rPr>
                <w:rFonts w:ascii="Arial" w:eastAsia="Arial" w:hAnsi="Arial"/>
                <w:i/>
                <w:color w:val="000000"/>
                <w:sz w:val="24"/>
                <w:szCs w:val="24"/>
              </w:rPr>
              <w:t xml:space="preserve">Tested and reported yearly in arrears within 120 days of each accounting reference date based upon figures for the 12 months ending on the relevant accounting reference date </w:t>
            </w:r>
          </w:p>
        </w:tc>
      </w:tr>
      <w:tr w:rsidR="00BD1A9E" w14:paraId="2C8595AC" w14:textId="77777777" w:rsidTr="00D90FB1">
        <w:tc>
          <w:tcPr>
            <w:tcW w:w="2253" w:type="dxa"/>
            <w:vAlign w:val="center"/>
          </w:tcPr>
          <w:p w14:paraId="4B7D0560" w14:textId="77777777" w:rsidR="00BD1A9E" w:rsidRPr="00C50B0F" w:rsidRDefault="00BD1A9E" w:rsidP="00D90FB1">
            <w:pPr>
              <w:pBdr>
                <w:top w:val="nil"/>
                <w:left w:val="nil"/>
                <w:bottom w:val="nil"/>
                <w:right w:val="nil"/>
                <w:between w:val="nil"/>
              </w:pBdr>
              <w:spacing w:before="100" w:after="200"/>
              <w:jc w:val="left"/>
              <w:rPr>
                <w:rFonts w:ascii="Arial" w:eastAsia="Arial" w:hAnsi="Arial"/>
                <w:b/>
                <w:sz w:val="24"/>
                <w:szCs w:val="24"/>
              </w:rPr>
            </w:pPr>
            <w:r w:rsidRPr="00C50B0F">
              <w:rPr>
                <w:rFonts w:ascii="Arial" w:eastAsia="Arial" w:hAnsi="Arial"/>
                <w:b/>
                <w:sz w:val="24"/>
                <w:szCs w:val="24"/>
              </w:rPr>
              <w:t>2</w:t>
            </w:r>
          </w:p>
          <w:p w14:paraId="1644016E" w14:textId="77777777" w:rsidR="00BD1A9E" w:rsidRPr="00C50B0F" w:rsidRDefault="00BD1A9E" w:rsidP="00D90FB1">
            <w:pPr>
              <w:pBdr>
                <w:top w:val="nil"/>
                <w:left w:val="nil"/>
                <w:bottom w:val="nil"/>
                <w:right w:val="nil"/>
                <w:between w:val="nil"/>
              </w:pBdr>
              <w:spacing w:before="100" w:after="200"/>
              <w:jc w:val="left"/>
              <w:rPr>
                <w:rFonts w:ascii="Arial" w:eastAsia="Arial" w:hAnsi="Arial"/>
                <w:b/>
                <w:sz w:val="24"/>
                <w:szCs w:val="24"/>
              </w:rPr>
            </w:pPr>
            <w:r w:rsidRPr="00C50B0F">
              <w:rPr>
                <w:rFonts w:ascii="Arial" w:eastAsia="Arial" w:hAnsi="Arial"/>
                <w:b/>
                <w:sz w:val="24"/>
                <w:szCs w:val="24"/>
              </w:rPr>
              <w:t>Free Cash Flow to Net Debt Ratio</w:t>
            </w:r>
          </w:p>
          <w:p w14:paraId="49F78C5D" w14:textId="77777777" w:rsidR="00BD1A9E" w:rsidRPr="00C50B0F" w:rsidRDefault="00BD1A9E" w:rsidP="00D90FB1">
            <w:pPr>
              <w:pBdr>
                <w:top w:val="nil"/>
                <w:left w:val="nil"/>
                <w:bottom w:val="nil"/>
                <w:right w:val="nil"/>
                <w:between w:val="nil"/>
              </w:pBdr>
              <w:spacing w:before="100" w:after="200"/>
              <w:jc w:val="left"/>
              <w:rPr>
                <w:rFonts w:ascii="Arial" w:eastAsia="Arial" w:hAnsi="Arial"/>
                <w:b/>
                <w:sz w:val="24"/>
                <w:szCs w:val="24"/>
              </w:rPr>
            </w:pPr>
          </w:p>
        </w:tc>
        <w:tc>
          <w:tcPr>
            <w:tcW w:w="1977" w:type="dxa"/>
            <w:vAlign w:val="center"/>
          </w:tcPr>
          <w:p w14:paraId="38D0967D" w14:textId="77777777" w:rsidR="00BD1A9E" w:rsidRPr="00C50B0F" w:rsidRDefault="00BD1A9E" w:rsidP="00D90FB1">
            <w:pPr>
              <w:pBdr>
                <w:top w:val="nil"/>
                <w:left w:val="nil"/>
                <w:bottom w:val="nil"/>
                <w:right w:val="nil"/>
                <w:between w:val="nil"/>
              </w:pBdr>
              <w:spacing w:before="100" w:after="200"/>
              <w:jc w:val="center"/>
              <w:rPr>
                <w:rFonts w:ascii="Arial" w:eastAsia="Arial" w:hAnsi="Arial"/>
                <w:i/>
                <w:sz w:val="24"/>
                <w:szCs w:val="24"/>
              </w:rPr>
            </w:pPr>
            <w:r w:rsidRPr="00C50B0F">
              <w:rPr>
                <w:rFonts w:ascii="Arial" w:eastAsia="Arial" w:hAnsi="Arial"/>
                <w:i/>
                <w:sz w:val="24"/>
                <w:szCs w:val="24"/>
              </w:rPr>
              <w:t>Free Cash Flow to Net Debt Ratio = Free Cash Flow / Net Debt</w:t>
            </w:r>
          </w:p>
          <w:p w14:paraId="352A16EC" w14:textId="77777777" w:rsidR="00BD1A9E" w:rsidRPr="00C50B0F" w:rsidRDefault="00BD1A9E" w:rsidP="00D90FB1">
            <w:pPr>
              <w:pBdr>
                <w:top w:val="nil"/>
                <w:left w:val="nil"/>
                <w:bottom w:val="nil"/>
                <w:right w:val="nil"/>
                <w:between w:val="nil"/>
              </w:pBdr>
              <w:spacing w:before="100" w:after="200"/>
              <w:jc w:val="center"/>
              <w:rPr>
                <w:rFonts w:ascii="Arial" w:eastAsia="Arial" w:hAnsi="Arial"/>
                <w:i/>
                <w:sz w:val="24"/>
                <w:szCs w:val="24"/>
              </w:rPr>
            </w:pPr>
          </w:p>
        </w:tc>
        <w:tc>
          <w:tcPr>
            <w:tcW w:w="1697" w:type="dxa"/>
            <w:vAlign w:val="center"/>
          </w:tcPr>
          <w:p w14:paraId="2ABE2996" w14:textId="77777777" w:rsidR="00BD1A9E" w:rsidRPr="00C50B0F" w:rsidRDefault="00BD1A9E" w:rsidP="00D90FB1">
            <w:pPr>
              <w:spacing w:before="100" w:after="200"/>
              <w:jc w:val="center"/>
              <w:rPr>
                <w:rFonts w:ascii="Arial" w:eastAsia="Arial" w:hAnsi="Arial"/>
                <w:i/>
                <w:sz w:val="24"/>
                <w:szCs w:val="24"/>
              </w:rPr>
            </w:pPr>
            <w:r w:rsidRPr="00C50B0F">
              <w:rPr>
                <w:rFonts w:ascii="Arial" w:eastAsia="Arial" w:hAnsi="Arial"/>
                <w:i/>
                <w:sz w:val="24"/>
                <w:szCs w:val="24"/>
              </w:rPr>
              <w:t>&gt; 20% 20% or higher than 20%</w:t>
            </w:r>
          </w:p>
          <w:p w14:paraId="5C4E2EC4" w14:textId="77777777" w:rsidR="00BD1A9E" w:rsidRPr="00C50B0F" w:rsidRDefault="00BD1A9E" w:rsidP="00D90FB1">
            <w:pPr>
              <w:pBdr>
                <w:top w:val="nil"/>
                <w:left w:val="nil"/>
                <w:bottom w:val="nil"/>
                <w:right w:val="nil"/>
                <w:between w:val="nil"/>
              </w:pBdr>
              <w:spacing w:before="100" w:after="200"/>
              <w:jc w:val="center"/>
              <w:rPr>
                <w:rFonts w:ascii="Arial" w:eastAsia="Arial" w:hAnsi="Arial"/>
                <w:i/>
                <w:sz w:val="24"/>
                <w:szCs w:val="24"/>
              </w:rPr>
            </w:pPr>
          </w:p>
          <w:p w14:paraId="3E64F5C9" w14:textId="77777777" w:rsidR="00BD1A9E" w:rsidRPr="00C50B0F" w:rsidRDefault="00BD1A9E" w:rsidP="00D90FB1">
            <w:pPr>
              <w:pBdr>
                <w:top w:val="nil"/>
                <w:left w:val="nil"/>
                <w:bottom w:val="nil"/>
                <w:right w:val="nil"/>
                <w:between w:val="nil"/>
              </w:pBdr>
              <w:spacing w:before="100" w:after="200"/>
              <w:jc w:val="center"/>
              <w:rPr>
                <w:rFonts w:ascii="Arial" w:eastAsia="Arial" w:hAnsi="Arial"/>
                <w:i/>
                <w:sz w:val="24"/>
                <w:szCs w:val="24"/>
              </w:rPr>
            </w:pPr>
          </w:p>
        </w:tc>
        <w:tc>
          <w:tcPr>
            <w:tcW w:w="3089" w:type="dxa"/>
            <w:vAlign w:val="center"/>
          </w:tcPr>
          <w:p w14:paraId="4235FF07" w14:textId="77777777" w:rsidR="00BD1A9E" w:rsidRPr="00C50B0F" w:rsidRDefault="00BD1A9E" w:rsidP="00D90FB1">
            <w:pPr>
              <w:pBdr>
                <w:top w:val="nil"/>
                <w:left w:val="nil"/>
                <w:bottom w:val="nil"/>
                <w:right w:val="nil"/>
                <w:between w:val="nil"/>
              </w:pBdr>
              <w:spacing w:before="100" w:after="200"/>
              <w:jc w:val="center"/>
              <w:rPr>
                <w:rFonts w:ascii="Arial" w:eastAsia="Arial" w:hAnsi="Arial"/>
                <w:i/>
                <w:sz w:val="24"/>
                <w:szCs w:val="24"/>
              </w:rPr>
            </w:pPr>
            <w:r w:rsidRPr="00C50B0F">
              <w:rPr>
                <w:rFonts w:ascii="Arial" w:eastAsia="Arial" w:hAnsi="Arial"/>
                <w:i/>
                <w:sz w:val="24"/>
                <w:szCs w:val="24"/>
              </w:rPr>
              <w:t xml:space="preserve">Tested and reported yearly in arrears within 120 days of each accounting reference date based upon Free Cash Flow for the 12 months ending on, and Net Debt at, the relevant accounting reference date </w:t>
            </w:r>
          </w:p>
        </w:tc>
      </w:tr>
      <w:tr w:rsidR="00BD1A9E" w:rsidRPr="00C50B0F" w14:paraId="55B50C17" w14:textId="77777777" w:rsidTr="00D90FB1">
        <w:tc>
          <w:tcPr>
            <w:tcW w:w="2253" w:type="dxa"/>
            <w:vAlign w:val="center"/>
          </w:tcPr>
          <w:p w14:paraId="1BCBB111" w14:textId="77777777" w:rsidR="00BD1A9E" w:rsidRPr="00C50B0F" w:rsidRDefault="00BD1A9E" w:rsidP="00D90FB1">
            <w:pPr>
              <w:pBdr>
                <w:top w:val="nil"/>
                <w:left w:val="nil"/>
                <w:bottom w:val="nil"/>
                <w:right w:val="nil"/>
                <w:between w:val="nil"/>
              </w:pBdr>
              <w:spacing w:before="100" w:after="200"/>
              <w:jc w:val="left"/>
              <w:rPr>
                <w:rFonts w:ascii="Arial" w:eastAsia="Arial" w:hAnsi="Arial"/>
                <w:b/>
                <w:sz w:val="24"/>
                <w:szCs w:val="24"/>
              </w:rPr>
            </w:pPr>
            <w:r w:rsidRPr="00C50B0F">
              <w:rPr>
                <w:rFonts w:ascii="Arial" w:eastAsia="Arial" w:hAnsi="Arial"/>
                <w:b/>
                <w:sz w:val="24"/>
                <w:szCs w:val="24"/>
              </w:rPr>
              <w:t>3</w:t>
            </w:r>
          </w:p>
          <w:p w14:paraId="70549AE3" w14:textId="77777777" w:rsidR="00BD1A9E" w:rsidRPr="00C50B0F" w:rsidRDefault="00BD1A9E" w:rsidP="00D90FB1">
            <w:pPr>
              <w:pBdr>
                <w:top w:val="nil"/>
                <w:left w:val="nil"/>
                <w:bottom w:val="nil"/>
                <w:right w:val="nil"/>
                <w:between w:val="nil"/>
              </w:pBdr>
              <w:spacing w:before="100" w:after="200"/>
              <w:jc w:val="left"/>
              <w:rPr>
                <w:rFonts w:ascii="Arial" w:eastAsia="Arial" w:hAnsi="Arial"/>
                <w:b/>
                <w:sz w:val="24"/>
                <w:szCs w:val="24"/>
              </w:rPr>
            </w:pPr>
            <w:r w:rsidRPr="00C50B0F">
              <w:rPr>
                <w:rFonts w:ascii="Arial" w:eastAsia="Arial" w:hAnsi="Arial"/>
                <w:b/>
                <w:sz w:val="24"/>
                <w:szCs w:val="24"/>
              </w:rPr>
              <w:t>Net Debt + Net Pension Deficit to EBITDA ratio</w:t>
            </w:r>
          </w:p>
        </w:tc>
        <w:tc>
          <w:tcPr>
            <w:tcW w:w="1977" w:type="dxa"/>
            <w:vAlign w:val="center"/>
          </w:tcPr>
          <w:p w14:paraId="78C6DBC4" w14:textId="77777777" w:rsidR="00BD1A9E" w:rsidRPr="00C50B0F" w:rsidRDefault="00BD1A9E" w:rsidP="00D90FB1">
            <w:pPr>
              <w:pBdr>
                <w:top w:val="nil"/>
                <w:left w:val="nil"/>
                <w:bottom w:val="nil"/>
                <w:right w:val="nil"/>
                <w:between w:val="nil"/>
              </w:pBdr>
              <w:spacing w:before="100" w:after="200"/>
              <w:jc w:val="center"/>
              <w:rPr>
                <w:rFonts w:ascii="Arial" w:eastAsia="Arial" w:hAnsi="Arial"/>
                <w:i/>
                <w:sz w:val="24"/>
                <w:szCs w:val="24"/>
              </w:rPr>
            </w:pPr>
            <w:r w:rsidRPr="00C50B0F">
              <w:rPr>
                <w:rFonts w:ascii="Arial" w:eastAsia="Arial" w:hAnsi="Arial"/>
                <w:i/>
                <w:sz w:val="24"/>
                <w:szCs w:val="24"/>
              </w:rPr>
              <w:t>Net Debt + Net Pension Deficit to EBITDA Ratio = (Net Debt + Net Pension Deficit) / EBITDA</w:t>
            </w:r>
          </w:p>
        </w:tc>
        <w:tc>
          <w:tcPr>
            <w:tcW w:w="1697" w:type="dxa"/>
            <w:vAlign w:val="center"/>
          </w:tcPr>
          <w:p w14:paraId="7FE9DE38" w14:textId="77777777" w:rsidR="00BD1A9E" w:rsidRPr="00C50B0F" w:rsidRDefault="00BD1A9E" w:rsidP="00D90FB1">
            <w:pPr>
              <w:spacing w:before="100" w:after="200"/>
              <w:jc w:val="center"/>
              <w:rPr>
                <w:rFonts w:ascii="Arial" w:eastAsia="Arial" w:hAnsi="Arial"/>
                <w:i/>
                <w:sz w:val="24"/>
                <w:szCs w:val="24"/>
              </w:rPr>
            </w:pPr>
            <w:r w:rsidRPr="00C50B0F">
              <w:rPr>
                <w:rFonts w:ascii="Arial" w:eastAsia="Arial" w:hAnsi="Arial"/>
                <w:i/>
                <w:sz w:val="24"/>
                <w:szCs w:val="24"/>
              </w:rPr>
              <w:t>&lt; 5 times 5 times or lower than 5</w:t>
            </w:r>
          </w:p>
        </w:tc>
        <w:tc>
          <w:tcPr>
            <w:tcW w:w="3089" w:type="dxa"/>
            <w:vAlign w:val="center"/>
          </w:tcPr>
          <w:p w14:paraId="49FEF976" w14:textId="77777777" w:rsidR="00BD1A9E" w:rsidRPr="00C50B0F" w:rsidRDefault="00BD1A9E" w:rsidP="00D90FB1">
            <w:pPr>
              <w:pBdr>
                <w:top w:val="nil"/>
                <w:left w:val="nil"/>
                <w:bottom w:val="nil"/>
                <w:right w:val="nil"/>
                <w:between w:val="nil"/>
              </w:pBdr>
              <w:spacing w:before="100" w:after="200"/>
              <w:jc w:val="center"/>
              <w:rPr>
                <w:rFonts w:ascii="Arial" w:eastAsia="Arial" w:hAnsi="Arial"/>
                <w:i/>
                <w:sz w:val="24"/>
                <w:szCs w:val="24"/>
              </w:rPr>
            </w:pPr>
            <w:r w:rsidRPr="00C50B0F">
              <w:rPr>
                <w:rFonts w:ascii="Arial" w:eastAsia="Arial" w:hAnsi="Arial"/>
                <w:i/>
                <w:sz w:val="24"/>
                <w:szCs w:val="24"/>
              </w:rPr>
              <w:t>Tested and reported yearly in arrears within 90 days of each accounting reference date based upon EBITDA for the 12 months ending on, and the Net Debt and Net Pension Deficit at, the relevant accounting reference date</w:t>
            </w:r>
          </w:p>
        </w:tc>
      </w:tr>
      <w:tr w:rsidR="00BD1A9E" w14:paraId="4D9ED340" w14:textId="77777777" w:rsidTr="00D90FB1">
        <w:tc>
          <w:tcPr>
            <w:tcW w:w="2253" w:type="dxa"/>
            <w:vAlign w:val="center"/>
          </w:tcPr>
          <w:p w14:paraId="1D9DC199" w14:textId="77777777" w:rsidR="00BD1A9E" w:rsidRPr="00C50B0F" w:rsidRDefault="00BD1A9E" w:rsidP="00D90FB1">
            <w:pPr>
              <w:pBdr>
                <w:top w:val="nil"/>
                <w:left w:val="nil"/>
                <w:bottom w:val="nil"/>
                <w:right w:val="nil"/>
                <w:between w:val="nil"/>
              </w:pBdr>
              <w:spacing w:before="100" w:after="200"/>
              <w:jc w:val="left"/>
              <w:rPr>
                <w:rFonts w:ascii="Arial" w:eastAsia="Arial" w:hAnsi="Arial"/>
                <w:b/>
                <w:color w:val="000000"/>
                <w:sz w:val="24"/>
                <w:szCs w:val="24"/>
              </w:rPr>
            </w:pPr>
            <w:r w:rsidRPr="00C50B0F">
              <w:rPr>
                <w:rFonts w:ascii="Arial" w:eastAsia="Arial" w:hAnsi="Arial"/>
                <w:b/>
                <w:color w:val="000000"/>
                <w:sz w:val="24"/>
                <w:szCs w:val="24"/>
              </w:rPr>
              <w:lastRenderedPageBreak/>
              <w:t>4</w:t>
            </w:r>
          </w:p>
          <w:p w14:paraId="4818CBFF" w14:textId="77777777" w:rsidR="00BD1A9E" w:rsidRPr="00C50B0F" w:rsidRDefault="00BD1A9E" w:rsidP="00D90FB1">
            <w:pPr>
              <w:pBdr>
                <w:top w:val="nil"/>
                <w:left w:val="nil"/>
                <w:bottom w:val="nil"/>
                <w:right w:val="nil"/>
                <w:between w:val="nil"/>
              </w:pBdr>
              <w:spacing w:before="100" w:after="200"/>
              <w:jc w:val="left"/>
              <w:rPr>
                <w:rFonts w:ascii="Arial" w:eastAsia="Arial" w:hAnsi="Arial"/>
                <w:b/>
                <w:color w:val="000000"/>
                <w:sz w:val="24"/>
                <w:szCs w:val="24"/>
              </w:rPr>
            </w:pPr>
            <w:r w:rsidRPr="00C50B0F">
              <w:rPr>
                <w:rFonts w:ascii="Arial" w:eastAsia="Arial" w:hAnsi="Arial"/>
                <w:b/>
                <w:color w:val="000000"/>
                <w:sz w:val="24"/>
                <w:szCs w:val="24"/>
              </w:rPr>
              <w:t>Net Interest Paid Cover</w:t>
            </w:r>
          </w:p>
        </w:tc>
        <w:tc>
          <w:tcPr>
            <w:tcW w:w="1977" w:type="dxa"/>
            <w:vAlign w:val="center"/>
          </w:tcPr>
          <w:p w14:paraId="7A56BF10" w14:textId="77777777" w:rsidR="00BD1A9E" w:rsidRPr="00C50B0F" w:rsidRDefault="00BD1A9E" w:rsidP="00D90FB1">
            <w:pPr>
              <w:pBdr>
                <w:top w:val="nil"/>
                <w:left w:val="nil"/>
                <w:bottom w:val="nil"/>
                <w:right w:val="nil"/>
                <w:between w:val="nil"/>
              </w:pBdr>
              <w:spacing w:before="100" w:after="200"/>
              <w:jc w:val="center"/>
              <w:rPr>
                <w:rFonts w:ascii="Arial" w:eastAsia="Arial" w:hAnsi="Arial"/>
                <w:i/>
                <w:iCs/>
                <w:color w:val="000000"/>
                <w:sz w:val="24"/>
                <w:szCs w:val="24"/>
              </w:rPr>
            </w:pPr>
            <w:r w:rsidRPr="77C00F96">
              <w:rPr>
                <w:rFonts w:ascii="Arial" w:eastAsia="Arial" w:hAnsi="Arial"/>
                <w:i/>
                <w:iCs/>
                <w:color w:val="000000" w:themeColor="text1"/>
                <w:sz w:val="24"/>
                <w:szCs w:val="24"/>
              </w:rPr>
              <w:t>Net Interest Paid Cover = Earnings Before Interest and Tax / Net Interest Paid</w:t>
            </w:r>
          </w:p>
        </w:tc>
        <w:tc>
          <w:tcPr>
            <w:tcW w:w="1697" w:type="dxa"/>
            <w:vAlign w:val="center"/>
          </w:tcPr>
          <w:p w14:paraId="6CECC950" w14:textId="77777777" w:rsidR="00BD1A9E" w:rsidRPr="00C50B0F" w:rsidRDefault="00BD1A9E" w:rsidP="00D90FB1">
            <w:pPr>
              <w:spacing w:before="100" w:after="200"/>
              <w:jc w:val="center"/>
              <w:rPr>
                <w:rFonts w:ascii="Arial" w:eastAsia="Arial" w:hAnsi="Arial"/>
                <w:i/>
                <w:color w:val="000000"/>
                <w:sz w:val="24"/>
                <w:szCs w:val="24"/>
              </w:rPr>
            </w:pPr>
            <w:r w:rsidRPr="00C50B0F">
              <w:rPr>
                <w:rFonts w:ascii="Arial" w:eastAsia="Arial" w:hAnsi="Arial"/>
                <w:i/>
                <w:color w:val="000000"/>
                <w:sz w:val="24"/>
                <w:szCs w:val="24"/>
              </w:rPr>
              <w:t>&gt; 3 times ratio of 3 or higher than 3</w:t>
            </w:r>
          </w:p>
        </w:tc>
        <w:tc>
          <w:tcPr>
            <w:tcW w:w="3089" w:type="dxa"/>
            <w:vAlign w:val="center"/>
          </w:tcPr>
          <w:p w14:paraId="52F3EFAF" w14:textId="77777777" w:rsidR="00BD1A9E" w:rsidRPr="00C50B0F" w:rsidRDefault="00BD1A9E" w:rsidP="00D90FB1">
            <w:pPr>
              <w:pBdr>
                <w:top w:val="nil"/>
                <w:left w:val="nil"/>
                <w:bottom w:val="nil"/>
                <w:right w:val="nil"/>
                <w:between w:val="nil"/>
              </w:pBdr>
              <w:spacing w:before="100" w:after="200"/>
              <w:jc w:val="center"/>
              <w:rPr>
                <w:rFonts w:ascii="Arial" w:eastAsia="Arial" w:hAnsi="Arial"/>
                <w:i/>
                <w:color w:val="000000"/>
                <w:sz w:val="24"/>
                <w:szCs w:val="24"/>
              </w:rPr>
            </w:pPr>
          </w:p>
          <w:p w14:paraId="733EDC85" w14:textId="77777777" w:rsidR="00BD1A9E" w:rsidRPr="00C50B0F" w:rsidRDefault="00BD1A9E" w:rsidP="00D90FB1">
            <w:pPr>
              <w:spacing w:before="100" w:after="200"/>
              <w:jc w:val="center"/>
              <w:rPr>
                <w:rFonts w:ascii="Arial" w:eastAsia="Arial" w:hAnsi="Arial"/>
                <w:i/>
                <w:sz w:val="24"/>
                <w:szCs w:val="24"/>
              </w:rPr>
            </w:pPr>
            <w:r w:rsidRPr="00C50B0F">
              <w:rPr>
                <w:rFonts w:ascii="Arial" w:eastAsia="Arial" w:hAnsi="Arial"/>
                <w:i/>
                <w:color w:val="000000"/>
                <w:sz w:val="24"/>
                <w:szCs w:val="24"/>
              </w:rPr>
              <w:t xml:space="preserve">Tested and reported yearly in arrears within 120 days of each accounting reference date based upon figures for the 12 months ending on the relevant accounting reference date </w:t>
            </w:r>
          </w:p>
        </w:tc>
      </w:tr>
      <w:tr w:rsidR="00BD1A9E" w14:paraId="5222FFF4" w14:textId="77777777" w:rsidTr="00D90FB1">
        <w:tc>
          <w:tcPr>
            <w:tcW w:w="2253" w:type="dxa"/>
            <w:vAlign w:val="center"/>
          </w:tcPr>
          <w:p w14:paraId="611B1EAE" w14:textId="77777777" w:rsidR="00BD1A9E" w:rsidRPr="00111632" w:rsidRDefault="00BD1A9E" w:rsidP="00D90FB1">
            <w:pPr>
              <w:pBdr>
                <w:top w:val="nil"/>
                <w:left w:val="nil"/>
                <w:bottom w:val="nil"/>
                <w:right w:val="nil"/>
                <w:between w:val="nil"/>
              </w:pBdr>
              <w:spacing w:before="100" w:after="200"/>
              <w:jc w:val="left"/>
              <w:rPr>
                <w:rFonts w:ascii="Arial" w:eastAsia="Arial" w:hAnsi="Arial"/>
                <w:b/>
                <w:color w:val="000000"/>
                <w:sz w:val="24"/>
                <w:szCs w:val="24"/>
              </w:rPr>
            </w:pPr>
            <w:r w:rsidRPr="00111632">
              <w:rPr>
                <w:rFonts w:ascii="Arial" w:eastAsia="Arial" w:hAnsi="Arial"/>
                <w:b/>
                <w:color w:val="000000"/>
                <w:sz w:val="24"/>
                <w:szCs w:val="24"/>
              </w:rPr>
              <w:t>5</w:t>
            </w:r>
          </w:p>
          <w:p w14:paraId="6874F0A5" w14:textId="77777777" w:rsidR="00BD1A9E" w:rsidRPr="00111632" w:rsidRDefault="00BD1A9E" w:rsidP="00D90FB1">
            <w:pPr>
              <w:pBdr>
                <w:top w:val="nil"/>
                <w:left w:val="nil"/>
                <w:bottom w:val="nil"/>
                <w:right w:val="nil"/>
                <w:between w:val="nil"/>
              </w:pBdr>
              <w:spacing w:before="100" w:after="200"/>
              <w:jc w:val="left"/>
              <w:rPr>
                <w:rFonts w:ascii="Arial" w:eastAsia="Arial" w:hAnsi="Arial"/>
                <w:b/>
                <w:color w:val="000000"/>
                <w:sz w:val="24"/>
                <w:szCs w:val="24"/>
              </w:rPr>
            </w:pPr>
            <w:r w:rsidRPr="00111632">
              <w:rPr>
                <w:rFonts w:ascii="Arial" w:eastAsia="Arial" w:hAnsi="Arial"/>
                <w:b/>
                <w:color w:val="000000"/>
                <w:sz w:val="24"/>
                <w:szCs w:val="24"/>
              </w:rPr>
              <w:t>Acid Ratio</w:t>
            </w:r>
          </w:p>
        </w:tc>
        <w:tc>
          <w:tcPr>
            <w:tcW w:w="1977" w:type="dxa"/>
            <w:vAlign w:val="center"/>
          </w:tcPr>
          <w:p w14:paraId="6940D84F" w14:textId="77777777" w:rsidR="00BD1A9E" w:rsidRPr="00111632" w:rsidRDefault="00BD1A9E" w:rsidP="00D90FB1">
            <w:pPr>
              <w:pBdr>
                <w:top w:val="nil"/>
                <w:left w:val="nil"/>
                <w:bottom w:val="nil"/>
                <w:right w:val="nil"/>
                <w:between w:val="nil"/>
              </w:pBdr>
              <w:spacing w:before="100" w:after="200"/>
              <w:jc w:val="center"/>
              <w:rPr>
                <w:rFonts w:ascii="Arial" w:eastAsia="Arial" w:hAnsi="Arial"/>
                <w:i/>
                <w:color w:val="000000"/>
                <w:sz w:val="24"/>
                <w:szCs w:val="24"/>
              </w:rPr>
            </w:pPr>
            <w:r w:rsidRPr="00111632">
              <w:rPr>
                <w:rFonts w:ascii="Arial" w:eastAsia="Arial" w:hAnsi="Arial"/>
                <w:i/>
                <w:color w:val="000000"/>
                <w:sz w:val="24"/>
                <w:szCs w:val="24"/>
              </w:rPr>
              <w:t>Acid Ratio = (Current Assets – Inventories) / Current Liabilities</w:t>
            </w:r>
          </w:p>
        </w:tc>
        <w:tc>
          <w:tcPr>
            <w:tcW w:w="1697" w:type="dxa"/>
            <w:vAlign w:val="center"/>
          </w:tcPr>
          <w:p w14:paraId="77B73DE4" w14:textId="77777777" w:rsidR="00BD1A9E" w:rsidRPr="00111632" w:rsidRDefault="00BD1A9E" w:rsidP="00D90FB1">
            <w:pPr>
              <w:spacing w:before="100" w:after="200"/>
              <w:jc w:val="center"/>
              <w:rPr>
                <w:rFonts w:ascii="Arial" w:eastAsia="Arial" w:hAnsi="Arial"/>
                <w:i/>
                <w:color w:val="000000"/>
                <w:sz w:val="24"/>
                <w:szCs w:val="24"/>
              </w:rPr>
            </w:pPr>
            <w:r w:rsidRPr="00111632">
              <w:rPr>
                <w:rFonts w:ascii="Arial" w:eastAsia="Arial" w:hAnsi="Arial"/>
                <w:i/>
                <w:color w:val="000000"/>
                <w:sz w:val="24"/>
                <w:szCs w:val="24"/>
              </w:rPr>
              <w:t>&gt; 1 times ratio of 1 or higher than 1</w:t>
            </w:r>
          </w:p>
        </w:tc>
        <w:tc>
          <w:tcPr>
            <w:tcW w:w="3089" w:type="dxa"/>
            <w:vAlign w:val="center"/>
          </w:tcPr>
          <w:p w14:paraId="4BCE42F2" w14:textId="77777777" w:rsidR="00BD1A9E" w:rsidRPr="00111632" w:rsidRDefault="00BD1A9E" w:rsidP="00D90FB1">
            <w:pPr>
              <w:pBdr>
                <w:top w:val="nil"/>
                <w:left w:val="nil"/>
                <w:bottom w:val="nil"/>
                <w:right w:val="nil"/>
                <w:between w:val="nil"/>
              </w:pBdr>
              <w:spacing w:before="100" w:after="200"/>
              <w:jc w:val="center"/>
              <w:rPr>
                <w:rFonts w:ascii="Arial" w:eastAsia="Arial" w:hAnsi="Arial"/>
                <w:i/>
                <w:color w:val="000000"/>
                <w:sz w:val="24"/>
                <w:szCs w:val="24"/>
              </w:rPr>
            </w:pPr>
          </w:p>
          <w:p w14:paraId="42EB2624" w14:textId="77777777" w:rsidR="00BD1A9E" w:rsidRPr="00111632" w:rsidRDefault="00BD1A9E" w:rsidP="00D90FB1">
            <w:pPr>
              <w:spacing w:before="100" w:after="200"/>
              <w:jc w:val="center"/>
              <w:rPr>
                <w:rFonts w:ascii="Arial" w:eastAsia="Arial" w:hAnsi="Arial"/>
                <w:i/>
                <w:sz w:val="24"/>
                <w:szCs w:val="24"/>
              </w:rPr>
            </w:pPr>
            <w:r w:rsidRPr="00111632">
              <w:rPr>
                <w:rFonts w:ascii="Arial" w:eastAsia="Arial" w:hAnsi="Arial"/>
                <w:i/>
                <w:color w:val="000000"/>
                <w:sz w:val="24"/>
                <w:szCs w:val="24"/>
              </w:rPr>
              <w:t xml:space="preserve">Tested and reported yearly in arrears within 120 days of each accounting reference date based upon figures at the relevant accounting reference date </w:t>
            </w:r>
          </w:p>
        </w:tc>
      </w:tr>
      <w:tr w:rsidR="00BD1A9E" w:rsidRPr="00930549" w14:paraId="24E7E145" w14:textId="77777777" w:rsidTr="00D90FB1">
        <w:tc>
          <w:tcPr>
            <w:tcW w:w="2253" w:type="dxa"/>
            <w:vAlign w:val="center"/>
          </w:tcPr>
          <w:p w14:paraId="23C21B6B" w14:textId="77777777" w:rsidR="00BD1A9E" w:rsidRPr="00930549" w:rsidRDefault="00BD1A9E" w:rsidP="00D90FB1">
            <w:pPr>
              <w:pBdr>
                <w:top w:val="nil"/>
                <w:left w:val="nil"/>
                <w:bottom w:val="nil"/>
                <w:right w:val="nil"/>
                <w:between w:val="nil"/>
              </w:pBdr>
              <w:spacing w:before="100" w:after="200"/>
              <w:jc w:val="left"/>
              <w:rPr>
                <w:rFonts w:ascii="Arial" w:eastAsia="Arial" w:hAnsi="Arial"/>
                <w:b/>
                <w:color w:val="000000"/>
                <w:sz w:val="24"/>
                <w:szCs w:val="24"/>
              </w:rPr>
            </w:pPr>
            <w:r w:rsidRPr="00930549">
              <w:rPr>
                <w:rFonts w:ascii="Arial" w:eastAsia="Arial" w:hAnsi="Arial"/>
                <w:b/>
                <w:color w:val="000000"/>
                <w:sz w:val="24"/>
                <w:szCs w:val="24"/>
              </w:rPr>
              <w:t>6</w:t>
            </w:r>
          </w:p>
          <w:p w14:paraId="68A2A14C" w14:textId="77777777" w:rsidR="00BD1A9E" w:rsidRPr="00930549" w:rsidRDefault="00BD1A9E" w:rsidP="00D90FB1">
            <w:pPr>
              <w:pBdr>
                <w:top w:val="nil"/>
                <w:left w:val="nil"/>
                <w:bottom w:val="nil"/>
                <w:right w:val="nil"/>
                <w:between w:val="nil"/>
              </w:pBdr>
              <w:spacing w:before="100" w:after="200"/>
              <w:jc w:val="left"/>
              <w:rPr>
                <w:rFonts w:ascii="Arial" w:eastAsia="Arial" w:hAnsi="Arial"/>
                <w:b/>
                <w:color w:val="000000"/>
                <w:sz w:val="24"/>
                <w:szCs w:val="24"/>
              </w:rPr>
            </w:pPr>
            <w:r w:rsidRPr="00930549">
              <w:rPr>
                <w:rFonts w:ascii="Arial" w:eastAsia="Arial" w:hAnsi="Arial"/>
                <w:b/>
                <w:color w:val="000000"/>
                <w:sz w:val="24"/>
                <w:szCs w:val="24"/>
              </w:rPr>
              <w:t>Net Asset value</w:t>
            </w:r>
          </w:p>
        </w:tc>
        <w:tc>
          <w:tcPr>
            <w:tcW w:w="1977" w:type="dxa"/>
            <w:vAlign w:val="center"/>
          </w:tcPr>
          <w:p w14:paraId="4212E11D" w14:textId="77777777" w:rsidR="00BD1A9E" w:rsidRPr="00930549" w:rsidRDefault="00BD1A9E" w:rsidP="00D90FB1">
            <w:pPr>
              <w:pBdr>
                <w:top w:val="nil"/>
                <w:left w:val="nil"/>
                <w:bottom w:val="nil"/>
                <w:right w:val="nil"/>
                <w:between w:val="nil"/>
              </w:pBdr>
              <w:spacing w:before="100" w:after="200"/>
              <w:jc w:val="center"/>
              <w:rPr>
                <w:rFonts w:ascii="Arial" w:eastAsia="Arial" w:hAnsi="Arial"/>
                <w:i/>
                <w:color w:val="000000"/>
                <w:sz w:val="24"/>
                <w:szCs w:val="24"/>
              </w:rPr>
            </w:pPr>
            <w:r w:rsidRPr="00930549">
              <w:rPr>
                <w:rFonts w:ascii="Arial" w:eastAsia="Arial" w:hAnsi="Arial"/>
                <w:i/>
                <w:color w:val="000000"/>
                <w:sz w:val="24"/>
                <w:szCs w:val="24"/>
              </w:rPr>
              <w:t>Net Asset Value = Net Assets</w:t>
            </w:r>
          </w:p>
        </w:tc>
        <w:tc>
          <w:tcPr>
            <w:tcW w:w="1697" w:type="dxa"/>
            <w:vAlign w:val="center"/>
          </w:tcPr>
          <w:p w14:paraId="6952DCB7" w14:textId="77777777" w:rsidR="00BD1A9E" w:rsidRPr="00930549" w:rsidRDefault="00BD1A9E" w:rsidP="00D90FB1">
            <w:pPr>
              <w:spacing w:before="100" w:after="200"/>
              <w:jc w:val="center"/>
              <w:rPr>
                <w:rFonts w:ascii="Arial" w:eastAsia="Arial" w:hAnsi="Arial"/>
                <w:i/>
                <w:color w:val="000000"/>
                <w:sz w:val="24"/>
                <w:szCs w:val="24"/>
              </w:rPr>
            </w:pPr>
            <w:r w:rsidRPr="00930549">
              <w:rPr>
                <w:rFonts w:ascii="Arial" w:eastAsia="Arial" w:hAnsi="Arial"/>
                <w:i/>
                <w:color w:val="000000"/>
                <w:sz w:val="24"/>
                <w:szCs w:val="24"/>
              </w:rPr>
              <w:t>&gt; £0 £0 or higher than £0</w:t>
            </w:r>
          </w:p>
        </w:tc>
        <w:tc>
          <w:tcPr>
            <w:tcW w:w="3089" w:type="dxa"/>
            <w:vAlign w:val="center"/>
          </w:tcPr>
          <w:p w14:paraId="2AEA47C0" w14:textId="77777777" w:rsidR="00BD1A9E" w:rsidRPr="00930549" w:rsidRDefault="00BD1A9E" w:rsidP="00D90FB1">
            <w:pPr>
              <w:pBdr>
                <w:top w:val="nil"/>
                <w:left w:val="nil"/>
                <w:bottom w:val="nil"/>
                <w:right w:val="nil"/>
                <w:between w:val="nil"/>
              </w:pBdr>
              <w:spacing w:before="100" w:after="200"/>
              <w:jc w:val="center"/>
              <w:rPr>
                <w:rFonts w:ascii="Arial" w:eastAsia="Arial" w:hAnsi="Arial"/>
                <w:i/>
                <w:color w:val="000000"/>
                <w:sz w:val="24"/>
                <w:szCs w:val="24"/>
              </w:rPr>
            </w:pPr>
          </w:p>
          <w:p w14:paraId="78CF6078" w14:textId="77777777" w:rsidR="00BD1A9E" w:rsidRPr="00930549" w:rsidRDefault="00BD1A9E" w:rsidP="00D90FB1">
            <w:pPr>
              <w:pBdr>
                <w:top w:val="nil"/>
                <w:left w:val="nil"/>
                <w:bottom w:val="nil"/>
                <w:right w:val="nil"/>
                <w:between w:val="nil"/>
              </w:pBdr>
              <w:spacing w:before="100" w:after="200"/>
              <w:jc w:val="center"/>
              <w:rPr>
                <w:rFonts w:ascii="Arial" w:eastAsia="Arial" w:hAnsi="Arial"/>
                <w:i/>
                <w:color w:val="000000"/>
                <w:sz w:val="24"/>
                <w:szCs w:val="24"/>
              </w:rPr>
            </w:pPr>
          </w:p>
          <w:p w14:paraId="46B4E5FC" w14:textId="77777777" w:rsidR="00BD1A9E" w:rsidRPr="00930549" w:rsidRDefault="00BD1A9E" w:rsidP="00D90FB1">
            <w:pPr>
              <w:spacing w:before="100" w:after="200"/>
              <w:jc w:val="center"/>
              <w:rPr>
                <w:rFonts w:ascii="Arial" w:eastAsia="Arial" w:hAnsi="Arial"/>
                <w:i/>
                <w:sz w:val="24"/>
                <w:szCs w:val="24"/>
              </w:rPr>
            </w:pPr>
            <w:r w:rsidRPr="00930549">
              <w:rPr>
                <w:rFonts w:ascii="Arial" w:eastAsia="Arial" w:hAnsi="Arial"/>
                <w:i/>
                <w:color w:val="000000"/>
                <w:sz w:val="24"/>
                <w:szCs w:val="24"/>
              </w:rPr>
              <w:t xml:space="preserve">Tested and reported yearly in arrears within 120 days of each accounting reference date based upon figures at the relevant accounting reference date </w:t>
            </w:r>
          </w:p>
        </w:tc>
      </w:tr>
      <w:tr w:rsidR="00BD1A9E" w14:paraId="559580EE" w14:textId="77777777" w:rsidTr="00D90FB1">
        <w:tc>
          <w:tcPr>
            <w:tcW w:w="2253" w:type="dxa"/>
            <w:vAlign w:val="center"/>
          </w:tcPr>
          <w:p w14:paraId="6EB9DD0B" w14:textId="77777777" w:rsidR="00BD1A9E" w:rsidRPr="00930549" w:rsidRDefault="00BD1A9E" w:rsidP="00D90FB1">
            <w:pPr>
              <w:pBdr>
                <w:top w:val="nil"/>
                <w:left w:val="nil"/>
                <w:bottom w:val="nil"/>
                <w:right w:val="nil"/>
                <w:between w:val="nil"/>
              </w:pBdr>
              <w:spacing w:before="100" w:after="200"/>
              <w:jc w:val="left"/>
              <w:rPr>
                <w:rFonts w:ascii="Arial" w:eastAsia="Arial" w:hAnsi="Arial"/>
                <w:b/>
                <w:color w:val="000000"/>
                <w:sz w:val="24"/>
                <w:szCs w:val="24"/>
              </w:rPr>
            </w:pPr>
            <w:r w:rsidRPr="00930549">
              <w:rPr>
                <w:rFonts w:ascii="Arial" w:eastAsia="Arial" w:hAnsi="Arial"/>
                <w:b/>
                <w:color w:val="000000"/>
                <w:sz w:val="24"/>
                <w:szCs w:val="24"/>
              </w:rPr>
              <w:t>7</w:t>
            </w:r>
          </w:p>
          <w:p w14:paraId="6B61EC0D" w14:textId="77777777" w:rsidR="00BD1A9E" w:rsidRPr="00930549" w:rsidRDefault="00BD1A9E" w:rsidP="00D90FB1">
            <w:pPr>
              <w:pBdr>
                <w:top w:val="nil"/>
                <w:left w:val="nil"/>
                <w:bottom w:val="nil"/>
                <w:right w:val="nil"/>
                <w:between w:val="nil"/>
              </w:pBdr>
              <w:spacing w:before="100" w:after="200"/>
              <w:jc w:val="left"/>
              <w:rPr>
                <w:rFonts w:ascii="Arial" w:eastAsia="Arial" w:hAnsi="Arial"/>
                <w:b/>
                <w:color w:val="000000"/>
                <w:sz w:val="24"/>
                <w:szCs w:val="24"/>
              </w:rPr>
            </w:pPr>
            <w:r w:rsidRPr="00930549">
              <w:rPr>
                <w:rFonts w:ascii="Arial" w:eastAsia="Arial" w:hAnsi="Arial"/>
                <w:b/>
                <w:color w:val="000000"/>
                <w:sz w:val="24"/>
                <w:szCs w:val="24"/>
              </w:rPr>
              <w:t>Group Exposure Ratio</w:t>
            </w:r>
          </w:p>
        </w:tc>
        <w:tc>
          <w:tcPr>
            <w:tcW w:w="1977" w:type="dxa"/>
            <w:vAlign w:val="center"/>
          </w:tcPr>
          <w:p w14:paraId="26A98EB5" w14:textId="77777777" w:rsidR="00BD1A9E" w:rsidRPr="00930549" w:rsidRDefault="00BD1A9E" w:rsidP="00D90FB1">
            <w:pPr>
              <w:pBdr>
                <w:top w:val="nil"/>
                <w:left w:val="nil"/>
                <w:bottom w:val="nil"/>
                <w:right w:val="nil"/>
                <w:between w:val="nil"/>
              </w:pBdr>
              <w:spacing w:before="100" w:after="200"/>
              <w:jc w:val="center"/>
              <w:rPr>
                <w:rFonts w:ascii="Arial" w:eastAsia="Arial" w:hAnsi="Arial"/>
                <w:i/>
                <w:color w:val="000000"/>
                <w:sz w:val="24"/>
                <w:szCs w:val="24"/>
              </w:rPr>
            </w:pPr>
            <w:r w:rsidRPr="00930549">
              <w:rPr>
                <w:rFonts w:ascii="Arial" w:eastAsia="Arial" w:hAnsi="Arial"/>
                <w:i/>
                <w:color w:val="000000"/>
                <w:sz w:val="24"/>
                <w:szCs w:val="24"/>
              </w:rPr>
              <w:t>Group Exposure / Gross Assets</w:t>
            </w:r>
          </w:p>
        </w:tc>
        <w:tc>
          <w:tcPr>
            <w:tcW w:w="1697" w:type="dxa"/>
            <w:vAlign w:val="center"/>
          </w:tcPr>
          <w:p w14:paraId="51D48374" w14:textId="77777777" w:rsidR="00BD1A9E" w:rsidRPr="00930549" w:rsidRDefault="00BD1A9E" w:rsidP="00D90FB1">
            <w:pPr>
              <w:spacing w:before="100" w:after="200"/>
              <w:jc w:val="center"/>
              <w:rPr>
                <w:rFonts w:ascii="Arial" w:eastAsia="Arial" w:hAnsi="Arial"/>
                <w:i/>
                <w:color w:val="000000"/>
                <w:sz w:val="24"/>
                <w:szCs w:val="24"/>
              </w:rPr>
            </w:pPr>
            <w:r w:rsidRPr="00930549">
              <w:rPr>
                <w:rFonts w:ascii="Arial" w:eastAsia="Arial" w:hAnsi="Arial"/>
                <w:i/>
                <w:color w:val="000000"/>
                <w:sz w:val="24"/>
                <w:szCs w:val="24"/>
              </w:rPr>
              <w:t>&lt; 50% 50% or lower than 50%</w:t>
            </w:r>
          </w:p>
        </w:tc>
        <w:tc>
          <w:tcPr>
            <w:tcW w:w="3089" w:type="dxa"/>
            <w:vAlign w:val="center"/>
          </w:tcPr>
          <w:p w14:paraId="60C3E0D7" w14:textId="77777777" w:rsidR="00BD1A9E" w:rsidRDefault="00BD1A9E" w:rsidP="00D90FB1">
            <w:pPr>
              <w:pBdr>
                <w:top w:val="nil"/>
                <w:left w:val="nil"/>
                <w:bottom w:val="nil"/>
                <w:right w:val="nil"/>
                <w:between w:val="nil"/>
              </w:pBdr>
              <w:spacing w:before="100" w:after="200"/>
              <w:jc w:val="center"/>
              <w:rPr>
                <w:rFonts w:ascii="Arial" w:eastAsia="Arial" w:hAnsi="Arial"/>
                <w:i/>
                <w:color w:val="000000"/>
                <w:sz w:val="24"/>
                <w:szCs w:val="24"/>
              </w:rPr>
            </w:pPr>
            <w:r w:rsidRPr="00930549">
              <w:rPr>
                <w:rFonts w:ascii="Arial" w:eastAsia="Arial" w:hAnsi="Arial"/>
                <w:i/>
                <w:color w:val="000000"/>
                <w:sz w:val="24"/>
                <w:szCs w:val="24"/>
              </w:rPr>
              <w:t>Tested and reported yearly in arrears within 90 days of each accounting reference date based upon figures at the relevant accounting reference date</w:t>
            </w:r>
          </w:p>
        </w:tc>
      </w:tr>
    </w:tbl>
    <w:p w14:paraId="638008B8" w14:textId="77777777" w:rsidR="00BD1A9E" w:rsidRDefault="00BD1A9E" w:rsidP="00BD1A9E">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14:paraId="29488033" w14:textId="77777777" w:rsidR="004C6C4A" w:rsidRDefault="00F059AA" w:rsidP="006F621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14:paraId="5D6AF719" w14:textId="77777777" w:rsidR="004C6C4A" w:rsidRDefault="00F059AA" w:rsidP="006F621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6B965A5D" w14:textId="77777777" w:rsidR="004C6C4A" w:rsidRDefault="00F059AA" w:rsidP="006F621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w:t>
      </w:r>
      <w:proofErr w:type="gramStart"/>
      <w:r>
        <w:rPr>
          <w:rFonts w:ascii="Arial" w:eastAsia="Arial" w:hAnsi="Arial"/>
          <w:color w:val="000000"/>
          <w:sz w:val="24"/>
          <w:szCs w:val="24"/>
        </w:rPr>
        <w:t>2.3.3;</w:t>
      </w:r>
      <w:proofErr w:type="gramEnd"/>
    </w:p>
    <w:p w14:paraId="02158B4A" w14:textId="77777777" w:rsidR="004C6C4A" w:rsidRDefault="00F059AA" w:rsidP="006F621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the Parties fail to agree a Financial Distress Remediation Plan (or any updated Financial Distress Remediation Plan) in accordance with Paragraphs 4.3 to 4.5; and/or</w:t>
      </w:r>
    </w:p>
    <w:p w14:paraId="0F8D3FC5" w14:textId="77777777" w:rsidR="004C6C4A" w:rsidRDefault="00F059AA" w:rsidP="006F621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4.6.3,</w:t>
      </w:r>
    </w:p>
    <w:p w14:paraId="38D430A7" w14:textId="77777777" w:rsidR="004C6C4A" w:rsidRDefault="00F059AA">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14:paraId="3F5B371B" w14:textId="77777777" w:rsidR="004C6C4A" w:rsidRDefault="00F059AA" w:rsidP="006F621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14:paraId="295DE8BE" w14:textId="77777777" w:rsidR="004C6C4A" w:rsidRDefault="00F059AA" w:rsidP="006F621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12B68403" w14:textId="77777777" w:rsidR="004C6C4A" w:rsidRDefault="00F059AA" w:rsidP="006F621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7EF32966" w14:textId="77777777" w:rsidR="004C6C4A" w:rsidRDefault="00F059AA" w:rsidP="006F621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14:paraId="518824BE" w14:textId="77777777" w:rsidR="004C6C4A" w:rsidRDefault="00F059AA" w:rsidP="006F621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14:paraId="6EF65C12" w14:textId="77777777" w:rsidR="004C6C4A" w:rsidRDefault="00F059AA" w:rsidP="006F621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7C371094" w14:textId="77777777" w:rsidR="004C6C4A" w:rsidRDefault="00F059AA" w:rsidP="006F621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14:paraId="6783E949" w14:textId="77777777" w:rsidR="004C6C4A" w:rsidRDefault="00F059AA" w:rsidP="006F621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14:paraId="4A998889" w14:textId="77777777" w:rsidR="004C6C4A" w:rsidRDefault="00F059AA" w:rsidP="006F621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7F17C2A3" w14:textId="77777777" w:rsidR="004C6C4A" w:rsidRDefault="00F059AA" w:rsidP="006F621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4D92E35F" w14:textId="77777777" w:rsidR="004C6C4A" w:rsidRDefault="00F059AA" w:rsidP="006F621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17298C9B" w14:textId="77777777" w:rsidR="004C6C4A" w:rsidRDefault="00F059AA" w:rsidP="006F621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Optional Clauses</w:t>
      </w:r>
    </w:p>
    <w:p w14:paraId="3003C8A9" w14:textId="77777777" w:rsidR="004C6C4A" w:rsidRDefault="00F059AA" w:rsidP="006F621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Where a Buyer’s Call-Off Contract is a Bronze Contract, if specified in the Order Form, the terms at Annex 5 shall apply to the Call-Off Contract in place of the foregoing terms of this Joint Schedule 7. </w:t>
      </w:r>
    </w:p>
    <w:p w14:paraId="1C35D7A2" w14:textId="77777777" w:rsidR="004C6C4A" w:rsidRDefault="004C6C4A">
      <w:pPr>
        <w:pBdr>
          <w:top w:val="nil"/>
          <w:left w:val="nil"/>
          <w:bottom w:val="nil"/>
          <w:right w:val="nil"/>
          <w:between w:val="nil"/>
        </w:pBdr>
        <w:tabs>
          <w:tab w:val="left" w:pos="142"/>
        </w:tabs>
        <w:spacing w:before="120"/>
        <w:ind w:left="360" w:hanging="360"/>
        <w:rPr>
          <w:b/>
          <w:smallCaps/>
          <w:color w:val="000000"/>
        </w:rPr>
      </w:pPr>
    </w:p>
    <w:p w14:paraId="589E2C54" w14:textId="77777777" w:rsidR="004C6C4A" w:rsidRDefault="00F059AA">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14:paraId="4717817C" w14:textId="66B6CBBF" w:rsidR="004C6C4A" w:rsidRDefault="00F059AA" w:rsidP="006F621C">
      <w:pPr>
        <w:keepNext/>
        <w:pBdr>
          <w:top w:val="nil"/>
          <w:left w:val="nil"/>
          <w:bottom w:val="nil"/>
          <w:right w:val="nil"/>
          <w:between w:val="nil"/>
        </w:pBdr>
        <w:spacing w:before="240" w:after="120"/>
        <w:jc w:val="left"/>
        <w:rPr>
          <w:rFonts w:ascii="Arial" w:eastAsia="Arial" w:hAnsi="Arial"/>
          <w:color w:val="000000"/>
          <w:sz w:val="24"/>
          <w:szCs w:val="24"/>
        </w:rPr>
      </w:pPr>
      <w:r>
        <w:rPr>
          <w:rFonts w:ascii="Arial" w:eastAsia="Arial" w:hAnsi="Arial"/>
          <w:color w:val="000000"/>
          <w:sz w:val="24"/>
          <w:szCs w:val="24"/>
        </w:rPr>
        <w:t>Dun &amp; Bradstreet</w:t>
      </w:r>
    </w:p>
    <w:p w14:paraId="0AAD747E" w14:textId="77777777" w:rsidR="004C6C4A" w:rsidRDefault="00F059AA">
      <w:pPr>
        <w:spacing w:after="200" w:line="276" w:lineRule="auto"/>
        <w:jc w:val="left"/>
        <w:rPr>
          <w:rFonts w:ascii="Arial" w:eastAsia="Arial" w:hAnsi="Arial"/>
          <w:sz w:val="24"/>
          <w:szCs w:val="24"/>
        </w:rPr>
      </w:pPr>
      <w:r>
        <w:br w:type="page"/>
      </w:r>
    </w:p>
    <w:p w14:paraId="3B5ACAA2" w14:textId="77777777" w:rsidR="004C6C4A" w:rsidRDefault="00F059AA">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1" w:name="_heading=h.2bn6wsx" w:colFirst="0" w:colLast="0"/>
      <w:bookmarkEnd w:id="1"/>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5"/>
        <w:tblW w:w="6945" w:type="dxa"/>
        <w:tblInd w:w="-1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75"/>
        <w:gridCol w:w="3870"/>
      </w:tblGrid>
      <w:tr w:rsidR="000806EB" w14:paraId="0C9588E5" w14:textId="77777777">
        <w:tc>
          <w:tcPr>
            <w:tcW w:w="3075" w:type="dxa"/>
            <w:tcBorders>
              <w:top w:val="single" w:sz="4" w:space="0" w:color="000000"/>
            </w:tcBorders>
            <w:shd w:val="clear" w:color="auto" w:fill="FFFFFF"/>
          </w:tcPr>
          <w:p w14:paraId="251C7FEC" w14:textId="77777777" w:rsidR="004C6C4A" w:rsidRDefault="00F059AA">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870" w:type="dxa"/>
            <w:tcBorders>
              <w:top w:val="single" w:sz="4" w:space="0" w:color="000000"/>
            </w:tcBorders>
            <w:shd w:val="clear" w:color="auto" w:fill="FFFFFF"/>
          </w:tcPr>
          <w:p w14:paraId="516436C2" w14:textId="77777777" w:rsidR="004C6C4A" w:rsidRDefault="00F059AA">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4C6C4A" w14:paraId="77414354" w14:textId="77777777" w:rsidTr="006F621C">
        <w:tc>
          <w:tcPr>
            <w:tcW w:w="3075" w:type="dxa"/>
            <w:shd w:val="clear" w:color="auto" w:fill="FFFFFF"/>
          </w:tcPr>
          <w:p w14:paraId="5FB1798E" w14:textId="77777777" w:rsidR="004C6C4A" w:rsidRDefault="00F059A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870" w:type="dxa"/>
            <w:shd w:val="clear" w:color="auto" w:fill="FFFFFF"/>
          </w:tcPr>
          <w:p w14:paraId="3691178D" w14:textId="3493F601" w:rsidR="004C6C4A" w:rsidRPr="006F621C" w:rsidRDefault="00F059AA">
            <w:pPr>
              <w:keepNext/>
              <w:spacing w:before="240" w:after="120"/>
              <w:ind w:left="140"/>
              <w:jc w:val="left"/>
              <w:rPr>
                <w:rFonts w:ascii="Arial" w:eastAsia="Arial" w:hAnsi="Arial"/>
                <w:sz w:val="24"/>
              </w:rPr>
            </w:pPr>
            <w:r w:rsidRPr="006F621C">
              <w:rPr>
                <w:rFonts w:ascii="Arial" w:eastAsia="Arial" w:hAnsi="Arial"/>
                <w:sz w:val="24"/>
              </w:rPr>
              <w:t xml:space="preserve">D&amp;B Threshold - </w:t>
            </w:r>
            <w:r>
              <w:rPr>
                <w:rFonts w:ascii="Arial" w:eastAsia="Arial" w:hAnsi="Arial"/>
                <w:sz w:val="24"/>
                <w:szCs w:val="24"/>
              </w:rPr>
              <w:t xml:space="preserve">Minimum </w:t>
            </w:r>
            <w:r w:rsidRPr="006F621C">
              <w:rPr>
                <w:rFonts w:ascii="Arial" w:eastAsia="Arial" w:hAnsi="Arial"/>
                <w:sz w:val="24"/>
              </w:rPr>
              <w:t>55</w:t>
            </w:r>
          </w:p>
        </w:tc>
      </w:tr>
      <w:tr w:rsidR="000806EB" w14:paraId="2B2DC932" w14:textId="77777777">
        <w:tc>
          <w:tcPr>
            <w:tcW w:w="3075" w:type="dxa"/>
            <w:tcBorders>
              <w:bottom w:val="single" w:sz="4" w:space="0" w:color="000000"/>
            </w:tcBorders>
            <w:shd w:val="clear" w:color="auto" w:fill="FFFFFF"/>
          </w:tcPr>
          <w:p w14:paraId="1739AF84" w14:textId="77777777" w:rsidR="004C6C4A" w:rsidRPr="006F621C" w:rsidRDefault="00F059AA">
            <w:pPr>
              <w:keepNext/>
              <w:pBdr>
                <w:top w:val="nil"/>
                <w:left w:val="nil"/>
                <w:bottom w:val="nil"/>
                <w:right w:val="nil"/>
                <w:between w:val="nil"/>
              </w:pBdr>
              <w:spacing w:before="240" w:after="120"/>
              <w:ind w:left="142"/>
              <w:jc w:val="left"/>
              <w:rPr>
                <w:rFonts w:ascii="Arial" w:eastAsia="Arial" w:hAnsi="Arial"/>
                <w:color w:val="000000"/>
                <w:sz w:val="24"/>
              </w:rPr>
            </w:pPr>
            <w:r w:rsidRPr="006F621C">
              <w:rPr>
                <w:rFonts w:ascii="Arial" w:eastAsia="Arial" w:hAnsi="Arial"/>
                <w:color w:val="000000"/>
                <w:sz w:val="24"/>
              </w:rPr>
              <w:t>[Key Subcontractor]</w:t>
            </w:r>
          </w:p>
        </w:tc>
        <w:tc>
          <w:tcPr>
            <w:tcW w:w="3870" w:type="dxa"/>
            <w:shd w:val="clear" w:color="auto" w:fill="FFFFFF"/>
          </w:tcPr>
          <w:p w14:paraId="1B0F0B36" w14:textId="7D4754FA" w:rsidR="004C6C4A" w:rsidRPr="006F621C" w:rsidRDefault="00F059AA" w:rsidP="006F621C">
            <w:pPr>
              <w:keepNext/>
              <w:spacing w:before="240" w:after="120"/>
              <w:ind w:left="140"/>
              <w:jc w:val="left"/>
              <w:rPr>
                <w:rFonts w:ascii="Arial" w:eastAsia="Arial" w:hAnsi="Arial"/>
                <w:sz w:val="24"/>
              </w:rPr>
            </w:pPr>
            <w:r>
              <w:rPr>
                <w:rFonts w:ascii="Arial" w:eastAsia="Arial" w:hAnsi="Arial"/>
                <w:sz w:val="24"/>
                <w:szCs w:val="24"/>
              </w:rPr>
              <w:t>D&amp;B Threshold - Minimum 55</w:t>
            </w:r>
          </w:p>
        </w:tc>
      </w:tr>
    </w:tbl>
    <w:p w14:paraId="168C4DF2"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1F96FB08" w14:textId="77777777" w:rsidR="004C6C4A" w:rsidRDefault="00F059AA">
      <w:pPr>
        <w:spacing w:after="200" w:line="276" w:lineRule="auto"/>
        <w:jc w:val="left"/>
        <w:rPr>
          <w:rFonts w:ascii="Arial" w:eastAsia="Arial" w:hAnsi="Arial"/>
          <w:sz w:val="24"/>
          <w:szCs w:val="24"/>
        </w:rPr>
      </w:pPr>
      <w:r>
        <w:br w:type="page"/>
      </w:r>
    </w:p>
    <w:p w14:paraId="7E292BA2" w14:textId="77777777" w:rsidR="004C6C4A" w:rsidRDefault="00F059A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14:paraId="0C7BDBDE" w14:textId="77777777" w:rsidR="004C6C4A" w:rsidRDefault="00F059AA">
      <w:pPr>
        <w:pBdr>
          <w:top w:val="nil"/>
          <w:left w:val="nil"/>
          <w:bottom w:val="nil"/>
          <w:right w:val="nil"/>
          <w:between w:val="nil"/>
        </w:pBdr>
        <w:spacing w:before="100" w:after="200"/>
        <w:jc w:val="left"/>
        <w:rPr>
          <w:rFonts w:ascii="Arial" w:eastAsia="Arial" w:hAnsi="Arial"/>
          <w:b/>
          <w:i/>
          <w:color w:val="000000"/>
          <w:sz w:val="24"/>
          <w:szCs w:val="24"/>
        </w:rPr>
      </w:pPr>
      <w:bookmarkStart w:id="2" w:name="_heading=h.qsh70q" w:colFirst="0" w:colLast="0"/>
      <w:bookmarkEnd w:id="2"/>
      <w:r w:rsidRPr="007621A3">
        <w:rPr>
          <w:rFonts w:ascii="Arial" w:eastAsia="Arial" w:hAnsi="Arial"/>
          <w:b/>
          <w:i/>
          <w:color w:val="000000"/>
          <w:sz w:val="24"/>
        </w:rPr>
        <w:t>[Guidance: Amend this section as appropriate to reflect the calculation methodology for those Financial Indicators that are selected for inclusion in Paragraph 5.1 of this Schedule]</w:t>
      </w:r>
    </w:p>
    <w:p w14:paraId="06AE8A6D" w14:textId="77777777" w:rsidR="004C6C4A" w:rsidRDefault="00F059A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14:paraId="7101229B" w14:textId="77777777" w:rsidR="004C6C4A" w:rsidRDefault="00F059AA">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53997830" w14:textId="77777777" w:rsidR="004C6C4A" w:rsidRDefault="00F059AA" w:rsidP="007621A3">
      <w:pPr>
        <w:numPr>
          <w:ilvl w:val="0"/>
          <w:numId w:val="3"/>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41A4A839" w14:textId="77777777" w:rsidR="004C6C4A" w:rsidRDefault="00F059AA" w:rsidP="007621A3">
      <w:pPr>
        <w:numPr>
          <w:ilvl w:val="0"/>
          <w:numId w:val="3"/>
        </w:numPr>
        <w:pBdr>
          <w:top w:val="nil"/>
          <w:left w:val="nil"/>
          <w:bottom w:val="nil"/>
          <w:right w:val="nil"/>
          <w:between w:val="nil"/>
        </w:pBdr>
        <w:spacing w:before="100" w:after="200"/>
        <w:jc w:val="left"/>
        <w:rPr>
          <w:rFonts w:ascii="Arial" w:eastAsia="Arial" w:hAnsi="Arial"/>
          <w:color w:val="000000"/>
          <w:sz w:val="24"/>
          <w:szCs w:val="24"/>
        </w:rPr>
      </w:pPr>
      <w:bookmarkStart w:id="3" w:name="_heading=h.3as4poj" w:colFirst="0" w:colLast="0"/>
      <w:bookmarkEnd w:id="3"/>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64D663ED" w14:textId="77777777" w:rsidR="004C6C4A" w:rsidRDefault="00F059AA" w:rsidP="007621A3">
      <w:pPr>
        <w:numPr>
          <w:ilvl w:val="0"/>
          <w:numId w:val="3"/>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0FC47768" w14:textId="77777777" w:rsidR="004C6C4A" w:rsidRDefault="00F059AA" w:rsidP="007621A3">
      <w:pPr>
        <w:numPr>
          <w:ilvl w:val="0"/>
          <w:numId w:val="3"/>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14:paraId="7F25915E" w14:textId="77777777" w:rsidR="004C6C4A" w:rsidRDefault="00F059AA">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4"/>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4C6C4A" w14:paraId="7CD0143E" w14:textId="77777777" w:rsidTr="007621A3">
        <w:trPr>
          <w:trHeight w:val="780"/>
        </w:trPr>
        <w:tc>
          <w:tcPr>
            <w:tcW w:w="2538" w:type="dxa"/>
            <w:shd w:val="clear" w:color="auto" w:fill="D9D9D9"/>
          </w:tcPr>
          <w:p w14:paraId="5F46B304" w14:textId="77777777" w:rsidR="004C6C4A" w:rsidRDefault="00F059A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14:paraId="364E81A3" w14:textId="77777777" w:rsidR="004C6C4A" w:rsidRDefault="00F059A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4C6C4A" w14:paraId="2B0EC8E9" w14:textId="77777777">
        <w:tc>
          <w:tcPr>
            <w:tcW w:w="253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5A57A0B" w14:textId="77777777" w:rsidR="004C6C4A" w:rsidRDefault="00F059AA">
            <w:pPr>
              <w:spacing w:before="240" w:after="200"/>
              <w:jc w:val="left"/>
              <w:rPr>
                <w:rFonts w:ascii="Arial" w:eastAsia="Arial" w:hAnsi="Arial"/>
                <w:b/>
                <w:sz w:val="24"/>
                <w:szCs w:val="24"/>
              </w:rPr>
            </w:pPr>
            <w:r>
              <w:rPr>
                <w:rFonts w:ascii="Arial" w:eastAsia="Arial" w:hAnsi="Arial"/>
                <w:b/>
                <w:sz w:val="24"/>
                <w:szCs w:val="24"/>
              </w:rPr>
              <w:t xml:space="preserve">1 </w:t>
            </w:r>
          </w:p>
          <w:p w14:paraId="4847EB03" w14:textId="77777777" w:rsidR="004C6C4A" w:rsidRDefault="00F059AA">
            <w:pPr>
              <w:spacing w:before="240" w:after="200"/>
              <w:jc w:val="left"/>
              <w:rPr>
                <w:rFonts w:ascii="Arial" w:eastAsia="Arial" w:hAnsi="Arial"/>
                <w:b/>
                <w:sz w:val="24"/>
                <w:szCs w:val="24"/>
              </w:rPr>
            </w:pPr>
            <w:r>
              <w:rPr>
                <w:rFonts w:ascii="Arial" w:eastAsia="Arial" w:hAnsi="Arial"/>
                <w:b/>
                <w:sz w:val="24"/>
                <w:szCs w:val="24"/>
              </w:rPr>
              <w:t>Turnover Ratio</w:t>
            </w:r>
          </w:p>
          <w:p w14:paraId="0A0FA4F7" w14:textId="77777777" w:rsidR="004C6C4A" w:rsidRDefault="00F059AA">
            <w:pPr>
              <w:spacing w:before="100" w:after="200"/>
              <w:jc w:val="left"/>
              <w:rPr>
                <w:rFonts w:ascii="Arial" w:eastAsia="Arial" w:hAnsi="Arial"/>
                <w:b/>
                <w:sz w:val="24"/>
                <w:szCs w:val="24"/>
              </w:rPr>
            </w:pPr>
            <w:r>
              <w:rPr>
                <w:rFonts w:ascii="Arial" w:eastAsia="Arial" w:hAnsi="Arial"/>
                <w:b/>
                <w:sz w:val="24"/>
                <w:szCs w:val="24"/>
              </w:rPr>
              <w:t xml:space="preserve"> </w:t>
            </w:r>
          </w:p>
        </w:tc>
        <w:tc>
          <w:tcPr>
            <w:tcW w:w="6478"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1538472A" w14:textId="77777777" w:rsidR="004C6C4A" w:rsidRDefault="00F059AA">
            <w:pPr>
              <w:spacing w:before="240" w:after="240"/>
              <w:jc w:val="left"/>
              <w:rPr>
                <w:rFonts w:ascii="Arial" w:eastAsia="Arial" w:hAnsi="Arial"/>
                <w:sz w:val="24"/>
                <w:szCs w:val="24"/>
              </w:rPr>
            </w:pPr>
            <w:r>
              <w:rPr>
                <w:rFonts w:ascii="Arial" w:eastAsia="Arial" w:hAnsi="Arial"/>
                <w:sz w:val="24"/>
                <w:szCs w:val="24"/>
              </w:rPr>
              <w:t>Revenue should be shown on the face of the Income Statement in a standard set of financial statements. It should exclude the entity’s share of the revenue of joint ventures or associates.</w:t>
            </w:r>
          </w:p>
        </w:tc>
      </w:tr>
      <w:tr w:rsidR="004C6C4A" w14:paraId="41471676" w14:textId="77777777" w:rsidTr="007621A3">
        <w:tc>
          <w:tcPr>
            <w:tcW w:w="2538" w:type="dxa"/>
            <w:vAlign w:val="center"/>
          </w:tcPr>
          <w:p w14:paraId="713E6463" w14:textId="7180F7BB" w:rsidR="004C6C4A" w:rsidRDefault="00F059AA">
            <w:pPr>
              <w:spacing w:before="100" w:after="200"/>
              <w:jc w:val="left"/>
              <w:rPr>
                <w:rFonts w:ascii="Arial" w:eastAsia="Arial" w:hAnsi="Arial"/>
                <w:b/>
                <w:sz w:val="24"/>
                <w:szCs w:val="24"/>
              </w:rPr>
            </w:pPr>
            <w:r>
              <w:rPr>
                <w:rFonts w:ascii="Arial" w:eastAsia="Arial" w:hAnsi="Arial"/>
                <w:b/>
                <w:sz w:val="24"/>
                <w:szCs w:val="24"/>
              </w:rPr>
              <w:t>2</w:t>
            </w:r>
          </w:p>
          <w:p w14:paraId="019E30B1" w14:textId="7BACBEE2" w:rsidR="004C6C4A" w:rsidRPr="007621A3" w:rsidRDefault="00F059AA" w:rsidP="007621A3">
            <w:pPr>
              <w:spacing w:before="100" w:after="200"/>
              <w:jc w:val="left"/>
              <w:rPr>
                <w:rFonts w:ascii="Arial" w:eastAsia="Arial" w:hAnsi="Arial"/>
                <w:b/>
                <w:sz w:val="24"/>
              </w:rPr>
            </w:pPr>
            <w:r w:rsidRPr="007621A3">
              <w:rPr>
                <w:rFonts w:ascii="Arial" w:eastAsia="Arial" w:hAnsi="Arial"/>
                <w:b/>
                <w:sz w:val="24"/>
              </w:rPr>
              <w:t>Operating Margin</w:t>
            </w:r>
          </w:p>
        </w:tc>
        <w:tc>
          <w:tcPr>
            <w:tcW w:w="6478" w:type="dxa"/>
          </w:tcPr>
          <w:p w14:paraId="2CBE9A31" w14:textId="2D23F158" w:rsidR="004C6C4A" w:rsidRPr="007621A3" w:rsidRDefault="00F059AA" w:rsidP="007621A3">
            <w:pPr>
              <w:spacing w:before="100" w:after="200"/>
              <w:jc w:val="left"/>
              <w:rPr>
                <w:rFonts w:ascii="Arial" w:eastAsia="Arial" w:hAnsi="Arial"/>
                <w:sz w:val="24"/>
              </w:rPr>
            </w:pPr>
            <w:r w:rsidRPr="007621A3">
              <w:rPr>
                <w:rFonts w:ascii="Arial" w:eastAsia="Arial" w:hAnsi="Arial"/>
                <w:sz w:val="24"/>
              </w:rPr>
              <w:t>The elements used to calculate the Operating Margin should be shown on the face of the Income Statement in a standard set of financial statements.</w:t>
            </w:r>
          </w:p>
          <w:p w14:paraId="272E23DE" w14:textId="77777777" w:rsidR="004C6C4A" w:rsidRPr="007621A3" w:rsidRDefault="00F059AA" w:rsidP="007621A3">
            <w:pPr>
              <w:spacing w:before="100" w:after="200"/>
              <w:jc w:val="left"/>
              <w:rPr>
                <w:rFonts w:ascii="Arial" w:eastAsia="Arial" w:hAnsi="Arial"/>
                <w:sz w:val="24"/>
              </w:rPr>
            </w:pPr>
            <w:r w:rsidRPr="007621A3">
              <w:rPr>
                <w:rFonts w:ascii="Arial" w:eastAsia="Arial" w:hAnsi="Arial"/>
                <w:sz w:val="24"/>
              </w:rPr>
              <w:t>Figures for Operating Profit and Revenue should exclude the entity’s share of the results of any joint ventures or Associates.</w:t>
            </w:r>
          </w:p>
          <w:p w14:paraId="3022C75D" w14:textId="77777777" w:rsidR="004C6C4A" w:rsidRPr="007621A3" w:rsidRDefault="00F059AA" w:rsidP="007621A3">
            <w:pPr>
              <w:spacing w:before="100" w:after="200"/>
              <w:jc w:val="left"/>
              <w:rPr>
                <w:rFonts w:ascii="Arial" w:eastAsia="Arial" w:hAnsi="Arial"/>
                <w:sz w:val="24"/>
              </w:rPr>
            </w:pPr>
            <w:r w:rsidRPr="007621A3">
              <w:rPr>
                <w:rFonts w:ascii="Arial" w:eastAsia="Arial" w:hAnsi="Arial"/>
                <w:sz w:val="24"/>
              </w:rPr>
              <w:lastRenderedPageBreak/>
              <w:t>Where an entity has an operating loss (i.e. where the operating profit is negative), Operating Profit should be taken to be zero.]</w:t>
            </w:r>
          </w:p>
        </w:tc>
      </w:tr>
      <w:tr w:rsidR="004C6C4A" w14:paraId="286D0C6B" w14:textId="77777777" w:rsidTr="007621A3">
        <w:tc>
          <w:tcPr>
            <w:tcW w:w="2538" w:type="dxa"/>
          </w:tcPr>
          <w:p w14:paraId="21FB00DC" w14:textId="4BD10A64" w:rsidR="004C6C4A" w:rsidRDefault="00F059AA">
            <w:pPr>
              <w:spacing w:before="100" w:after="200"/>
              <w:jc w:val="left"/>
              <w:rPr>
                <w:rFonts w:ascii="Arial" w:eastAsia="Arial" w:hAnsi="Arial"/>
                <w:color w:val="000000"/>
                <w:sz w:val="24"/>
                <w:szCs w:val="24"/>
              </w:rPr>
            </w:pPr>
            <w:r w:rsidRPr="007621A3">
              <w:rPr>
                <w:rFonts w:ascii="Arial" w:eastAsia="Arial" w:hAnsi="Arial"/>
                <w:b/>
                <w:sz w:val="24"/>
              </w:rPr>
              <w:lastRenderedPageBreak/>
              <w:t>Net Debt to EBITDA Ratio</w:t>
            </w:r>
          </w:p>
          <w:p w14:paraId="355CBFA1"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423056CF"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537F1C70"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4E72DB57"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27556C9A"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13341B2D"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51034EE9"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06F71804"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5060FCFC"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33D63DD8"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3D0F4955"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0E7D0EC2"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6EABE9E3"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54389942"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1A5C531E"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62ED6D14"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497E8789"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1622627F"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40295FCE"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0E4D281F"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4108EF46"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0ED02B3F"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6317C90E"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22890EA1"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7F030995"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329383D4"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603528AA" w14:textId="77777777" w:rsidR="004C6C4A" w:rsidRDefault="004C6C4A">
            <w:pPr>
              <w:pBdr>
                <w:top w:val="nil"/>
                <w:left w:val="nil"/>
                <w:bottom w:val="nil"/>
                <w:right w:val="nil"/>
                <w:between w:val="nil"/>
              </w:pBdr>
              <w:spacing w:before="100" w:after="200"/>
              <w:jc w:val="left"/>
              <w:rPr>
                <w:rFonts w:ascii="Arial" w:eastAsia="Arial" w:hAnsi="Arial"/>
                <w:b/>
                <w:color w:val="000000"/>
                <w:sz w:val="24"/>
                <w:szCs w:val="24"/>
              </w:rPr>
            </w:pPr>
          </w:p>
          <w:p w14:paraId="7265FAFD" w14:textId="77777777" w:rsidR="004C6C4A" w:rsidRDefault="004C6C4A">
            <w:pPr>
              <w:pBdr>
                <w:top w:val="nil"/>
                <w:left w:val="nil"/>
                <w:bottom w:val="nil"/>
                <w:right w:val="nil"/>
                <w:between w:val="nil"/>
              </w:pBdr>
              <w:spacing w:before="100" w:after="200"/>
              <w:jc w:val="left"/>
              <w:rPr>
                <w:rFonts w:ascii="Arial" w:eastAsia="Arial" w:hAnsi="Arial"/>
                <w:b/>
                <w:color w:val="000000"/>
                <w:sz w:val="24"/>
                <w:szCs w:val="24"/>
              </w:rPr>
            </w:pPr>
          </w:p>
        </w:tc>
        <w:tc>
          <w:tcPr>
            <w:tcW w:w="6478" w:type="dxa"/>
          </w:tcPr>
          <w:p w14:paraId="5FFE0F1B" w14:textId="100832B1" w:rsidR="004C6C4A" w:rsidRPr="007621A3" w:rsidRDefault="00F059AA">
            <w:pPr>
              <w:pBdr>
                <w:top w:val="nil"/>
                <w:left w:val="nil"/>
                <w:bottom w:val="nil"/>
                <w:right w:val="nil"/>
                <w:between w:val="nil"/>
              </w:pBdr>
              <w:spacing w:before="100" w:after="200"/>
              <w:jc w:val="left"/>
              <w:rPr>
                <w:rFonts w:ascii="Arial" w:eastAsia="Arial" w:hAnsi="Arial"/>
                <w:i/>
                <w:color w:val="000000"/>
                <w:sz w:val="24"/>
              </w:rPr>
            </w:pPr>
            <w:r w:rsidRPr="007621A3">
              <w:rPr>
                <w:rFonts w:ascii="Arial" w:eastAsia="Arial" w:hAnsi="Arial"/>
                <w:i/>
                <w:color w:val="000000"/>
                <w:sz w:val="24"/>
              </w:rPr>
              <w:lastRenderedPageBreak/>
              <w:t>“</w:t>
            </w:r>
            <w:r w:rsidRPr="007621A3">
              <w:rPr>
                <w:rFonts w:ascii="Arial" w:eastAsia="Arial" w:hAnsi="Arial"/>
                <w:b/>
                <w:i/>
                <w:color w:val="000000"/>
                <w:sz w:val="24"/>
              </w:rPr>
              <w:t>Net Debt</w:t>
            </w:r>
            <w:r w:rsidRPr="007621A3">
              <w:rPr>
                <w:rFonts w:ascii="Arial" w:eastAsia="Arial" w:hAnsi="Arial"/>
                <w:i/>
                <w:color w:val="000000"/>
                <w:sz w:val="24"/>
              </w:rPr>
              <w:t>” = Bank overdrafts + Loans and borrowings + Finance leases + Deferred consideration payable – Cash and cash equivalents</w:t>
            </w:r>
          </w:p>
          <w:p w14:paraId="30966FA7" w14:textId="77777777" w:rsidR="004C6C4A" w:rsidRPr="007621A3" w:rsidRDefault="00F059AA">
            <w:pPr>
              <w:pBdr>
                <w:top w:val="nil"/>
                <w:left w:val="nil"/>
                <w:bottom w:val="nil"/>
                <w:right w:val="nil"/>
                <w:between w:val="nil"/>
              </w:pBdr>
              <w:spacing w:before="100" w:after="200"/>
              <w:jc w:val="left"/>
              <w:rPr>
                <w:rFonts w:ascii="Arial" w:eastAsia="Arial" w:hAnsi="Arial"/>
                <w:i/>
                <w:color w:val="000000"/>
                <w:sz w:val="24"/>
              </w:rPr>
            </w:pPr>
            <w:r w:rsidRPr="007621A3">
              <w:rPr>
                <w:rFonts w:ascii="Arial" w:eastAsia="Arial" w:hAnsi="Arial"/>
                <w:i/>
                <w:color w:val="000000"/>
                <w:sz w:val="24"/>
              </w:rPr>
              <w:t>“</w:t>
            </w:r>
            <w:r w:rsidRPr="007621A3">
              <w:rPr>
                <w:rFonts w:ascii="Arial" w:eastAsia="Arial" w:hAnsi="Arial"/>
                <w:b/>
                <w:i/>
                <w:color w:val="000000"/>
                <w:sz w:val="24"/>
              </w:rPr>
              <w:t>EBITDA</w:t>
            </w:r>
            <w:r w:rsidRPr="007621A3">
              <w:rPr>
                <w:rFonts w:ascii="Arial" w:eastAsia="Arial" w:hAnsi="Arial"/>
                <w:i/>
                <w:color w:val="000000"/>
                <w:sz w:val="24"/>
              </w:rPr>
              <w:t>” = Operating profit + Depreciation charge + Amortisation charge</w:t>
            </w:r>
          </w:p>
          <w:p w14:paraId="16462247"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1B9DB1A5"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i/>
                <w:color w:val="000000"/>
                <w:sz w:val="24"/>
                <w:u w:val="single"/>
              </w:rPr>
              <w:t>Net Debt</w:t>
            </w:r>
            <w:r w:rsidRPr="007621A3">
              <w:rPr>
                <w:rFonts w:ascii="Arial" w:eastAsia="Arial" w:hAnsi="Arial"/>
                <w:color w:val="000000"/>
                <w:sz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0BB4D518"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Deferred consideration payable should be included in Net Debt despite typically being non-interest bearing.</w:t>
            </w:r>
          </w:p>
          <w:p w14:paraId="335FBE81"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Cash and cash equivalents should include short-term financial investments shown in current assets.</w:t>
            </w:r>
          </w:p>
          <w:p w14:paraId="7B1C2AF5"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 xml:space="preserve">Where Net debt is negative (i.e. an entity has net cash), the relevant Financial Target Threshold should be treated as having been met. </w:t>
            </w:r>
          </w:p>
          <w:p w14:paraId="02A8FFE1" w14:textId="258D637B" w:rsidR="004C6C4A" w:rsidRDefault="00F059AA">
            <w:pPr>
              <w:pBdr>
                <w:top w:val="nil"/>
                <w:left w:val="nil"/>
                <w:bottom w:val="nil"/>
                <w:right w:val="nil"/>
                <w:between w:val="nil"/>
              </w:pBdr>
              <w:spacing w:before="100" w:after="200"/>
              <w:jc w:val="left"/>
              <w:rPr>
                <w:rFonts w:ascii="Arial" w:eastAsia="Arial" w:hAnsi="Arial"/>
                <w:i/>
                <w:color w:val="000000"/>
                <w:sz w:val="24"/>
                <w:szCs w:val="24"/>
              </w:rPr>
            </w:pPr>
            <w:bookmarkStart w:id="4" w:name="_heading=h.1pxezwc" w:colFirst="0" w:colLast="0"/>
            <w:bookmarkEnd w:id="4"/>
            <w:r w:rsidRPr="007621A3">
              <w:rPr>
                <w:rFonts w:ascii="Arial" w:eastAsia="Arial" w:hAnsi="Arial"/>
                <w:i/>
                <w:color w:val="000000"/>
                <w:sz w:val="24"/>
                <w:u w:val="single"/>
              </w:rPr>
              <w:t>EBITDA</w:t>
            </w:r>
            <w:r w:rsidRPr="007621A3">
              <w:rPr>
                <w:rFonts w:ascii="Arial" w:eastAsia="Arial" w:hAnsi="Arial"/>
                <w:color w:val="000000"/>
                <w:sz w:val="24"/>
              </w:rPr>
              <w:t xml:space="preserve">: Operating profit should be shown on the face of the Income Statement and, for the purposes of calculating this Financial Indicator, should include the entity’s share of the results of any joint ventures or Associates. </w:t>
            </w:r>
            <w:r w:rsidRPr="007621A3">
              <w:rPr>
                <w:rFonts w:ascii="Arial" w:eastAsia="Arial" w:hAnsi="Arial"/>
                <w:i/>
                <w:color w:val="000000"/>
                <w:sz w:val="24"/>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t>
            </w:r>
            <w:r w:rsidRPr="007621A3">
              <w:rPr>
                <w:rFonts w:ascii="Arial" w:eastAsia="Arial" w:hAnsi="Arial"/>
                <w:i/>
                <w:color w:val="000000"/>
                <w:sz w:val="24"/>
              </w:rPr>
              <w:lastRenderedPageBreak/>
              <w:t>which case the relevant Financial Target Threshold should be treated as having been met).</w:t>
            </w:r>
          </w:p>
        </w:tc>
      </w:tr>
      <w:tr w:rsidR="004C6C4A" w14:paraId="0B36E1B0" w14:textId="77777777" w:rsidTr="007621A3">
        <w:tc>
          <w:tcPr>
            <w:tcW w:w="2538" w:type="dxa"/>
          </w:tcPr>
          <w:p w14:paraId="7A8228C1" w14:textId="15C477B1" w:rsidR="004C6C4A" w:rsidRDefault="00F059A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lastRenderedPageBreak/>
              <w:t>4</w:t>
            </w:r>
          </w:p>
          <w:p w14:paraId="6E627AAF" w14:textId="2D306C9C" w:rsidR="004C6C4A" w:rsidRDefault="00F059AA">
            <w:pPr>
              <w:pBdr>
                <w:top w:val="nil"/>
                <w:left w:val="nil"/>
                <w:bottom w:val="nil"/>
                <w:right w:val="nil"/>
                <w:between w:val="nil"/>
              </w:pBdr>
              <w:spacing w:before="100" w:after="200"/>
              <w:jc w:val="left"/>
              <w:rPr>
                <w:rFonts w:ascii="Arial" w:eastAsia="Arial" w:hAnsi="Arial"/>
                <w:b/>
                <w:color w:val="000000"/>
                <w:sz w:val="24"/>
                <w:szCs w:val="24"/>
              </w:rPr>
            </w:pPr>
            <w:r w:rsidRPr="001D4E2B">
              <w:rPr>
                <w:rFonts w:ascii="Arial" w:eastAsia="Arial" w:hAnsi="Arial"/>
                <w:b/>
                <w:color w:val="000000"/>
                <w:sz w:val="24"/>
              </w:rPr>
              <w:t xml:space="preserve">Net Debt + </w:t>
            </w:r>
            <w:proofErr w:type="gramStart"/>
            <w:r w:rsidRPr="001D4E2B">
              <w:rPr>
                <w:rFonts w:ascii="Arial" w:eastAsia="Arial" w:hAnsi="Arial"/>
                <w:b/>
                <w:color w:val="000000"/>
                <w:sz w:val="24"/>
              </w:rPr>
              <w:t>Net  Pension</w:t>
            </w:r>
            <w:proofErr w:type="gramEnd"/>
            <w:r w:rsidRPr="001D4E2B">
              <w:rPr>
                <w:rFonts w:ascii="Arial" w:eastAsia="Arial" w:hAnsi="Arial"/>
                <w:b/>
                <w:color w:val="000000"/>
                <w:sz w:val="24"/>
              </w:rPr>
              <w:t xml:space="preserve"> Deficit to EBITDA ratio</w:t>
            </w:r>
          </w:p>
        </w:tc>
        <w:tc>
          <w:tcPr>
            <w:tcW w:w="6478" w:type="dxa"/>
          </w:tcPr>
          <w:p w14:paraId="53096E1B" w14:textId="35C37610" w:rsidR="004C6C4A" w:rsidRPr="007621A3" w:rsidRDefault="00F059AA">
            <w:pPr>
              <w:pBdr>
                <w:top w:val="nil"/>
                <w:left w:val="nil"/>
                <w:bottom w:val="nil"/>
                <w:right w:val="nil"/>
                <w:between w:val="nil"/>
              </w:pBdr>
              <w:spacing w:before="100" w:after="200"/>
              <w:jc w:val="left"/>
              <w:rPr>
                <w:rFonts w:ascii="Arial" w:eastAsia="Arial" w:hAnsi="Arial"/>
                <w:i/>
                <w:color w:val="000000"/>
                <w:sz w:val="24"/>
              </w:rPr>
            </w:pPr>
            <w:r w:rsidRPr="007621A3">
              <w:rPr>
                <w:rFonts w:ascii="Arial" w:eastAsia="Arial" w:hAnsi="Arial"/>
                <w:i/>
                <w:color w:val="000000"/>
                <w:sz w:val="24"/>
              </w:rPr>
              <w:t>“</w:t>
            </w:r>
            <w:r w:rsidRPr="007621A3">
              <w:rPr>
                <w:rFonts w:ascii="Arial" w:eastAsia="Arial" w:hAnsi="Arial"/>
                <w:b/>
                <w:i/>
                <w:color w:val="000000"/>
                <w:sz w:val="24"/>
              </w:rPr>
              <w:t>Net Debt</w:t>
            </w:r>
            <w:r w:rsidRPr="007621A3">
              <w:rPr>
                <w:rFonts w:ascii="Arial" w:eastAsia="Arial" w:hAnsi="Arial"/>
                <w:i/>
                <w:color w:val="000000"/>
                <w:sz w:val="24"/>
              </w:rPr>
              <w:t>” = Bank overdrafts + Loans and borrowings + Finance leases + Deferred consideration payable – Cash and cash equivalents</w:t>
            </w:r>
          </w:p>
          <w:p w14:paraId="2BD1D641" w14:textId="77777777" w:rsidR="004C6C4A" w:rsidRPr="007621A3" w:rsidRDefault="00F059AA">
            <w:pPr>
              <w:pBdr>
                <w:top w:val="nil"/>
                <w:left w:val="nil"/>
                <w:bottom w:val="nil"/>
                <w:right w:val="nil"/>
                <w:between w:val="nil"/>
              </w:pBdr>
              <w:spacing w:before="100" w:after="200"/>
              <w:jc w:val="left"/>
              <w:rPr>
                <w:rFonts w:ascii="Arial" w:eastAsia="Arial" w:hAnsi="Arial"/>
                <w:i/>
                <w:color w:val="000000"/>
                <w:sz w:val="24"/>
              </w:rPr>
            </w:pPr>
            <w:r w:rsidRPr="007621A3">
              <w:rPr>
                <w:rFonts w:ascii="Arial" w:eastAsia="Arial" w:hAnsi="Arial"/>
                <w:i/>
                <w:color w:val="000000"/>
                <w:sz w:val="24"/>
              </w:rPr>
              <w:t>“</w:t>
            </w:r>
            <w:r w:rsidRPr="007621A3">
              <w:rPr>
                <w:rFonts w:ascii="Arial" w:eastAsia="Arial" w:hAnsi="Arial"/>
                <w:b/>
                <w:i/>
                <w:color w:val="000000"/>
                <w:sz w:val="24"/>
              </w:rPr>
              <w:t>Net Pension Deficit</w:t>
            </w:r>
            <w:r w:rsidRPr="007621A3">
              <w:rPr>
                <w:rFonts w:ascii="Arial" w:eastAsia="Arial" w:hAnsi="Arial"/>
                <w:i/>
                <w:color w:val="000000"/>
                <w:sz w:val="24"/>
              </w:rPr>
              <w:t>” = Retirement Benefit Obligations – Retirement Benefit Assets</w:t>
            </w:r>
          </w:p>
          <w:p w14:paraId="2C154A4A" w14:textId="77777777" w:rsidR="004C6C4A" w:rsidRPr="007621A3" w:rsidRDefault="00F059AA">
            <w:pPr>
              <w:pBdr>
                <w:top w:val="nil"/>
                <w:left w:val="nil"/>
                <w:bottom w:val="nil"/>
                <w:right w:val="nil"/>
                <w:between w:val="nil"/>
              </w:pBdr>
              <w:spacing w:before="100" w:after="200"/>
              <w:jc w:val="left"/>
              <w:rPr>
                <w:rFonts w:ascii="Arial" w:eastAsia="Arial" w:hAnsi="Arial"/>
                <w:i/>
                <w:color w:val="000000"/>
                <w:sz w:val="24"/>
              </w:rPr>
            </w:pPr>
            <w:r w:rsidRPr="007621A3">
              <w:rPr>
                <w:rFonts w:ascii="Arial" w:eastAsia="Arial" w:hAnsi="Arial"/>
                <w:i/>
                <w:color w:val="000000"/>
                <w:sz w:val="24"/>
              </w:rPr>
              <w:t>“</w:t>
            </w:r>
            <w:r w:rsidRPr="007621A3">
              <w:rPr>
                <w:rFonts w:ascii="Arial" w:eastAsia="Arial" w:hAnsi="Arial"/>
                <w:b/>
                <w:i/>
                <w:color w:val="000000"/>
                <w:sz w:val="24"/>
              </w:rPr>
              <w:t>EBITDA</w:t>
            </w:r>
            <w:r w:rsidRPr="007621A3">
              <w:rPr>
                <w:rFonts w:ascii="Arial" w:eastAsia="Arial" w:hAnsi="Arial"/>
                <w:i/>
                <w:color w:val="000000"/>
                <w:sz w:val="24"/>
              </w:rPr>
              <w:t>” = Operating profit + Depreciation charge + Amortisation charge</w:t>
            </w:r>
          </w:p>
          <w:p w14:paraId="47CFC815"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093BA73F"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i/>
                <w:color w:val="000000"/>
                <w:sz w:val="24"/>
                <w:u w:val="single"/>
              </w:rPr>
              <w:t>Net Debt</w:t>
            </w:r>
            <w:r w:rsidRPr="007621A3">
              <w:rPr>
                <w:rFonts w:ascii="Arial" w:eastAsia="Arial" w:hAnsi="Arial"/>
                <w:color w:val="000000"/>
                <w:sz w:val="24"/>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7621A3">
              <w:rPr>
                <w:rFonts w:ascii="Arial" w:eastAsia="Arial" w:hAnsi="Arial"/>
                <w:i/>
                <w:color w:val="000000"/>
                <w:sz w:val="24"/>
              </w:rPr>
              <w:t>not</w:t>
            </w:r>
            <w:r w:rsidRPr="007621A3">
              <w:rPr>
                <w:rFonts w:ascii="Arial" w:eastAsia="Arial" w:hAnsi="Arial"/>
                <w:color w:val="000000"/>
                <w:sz w:val="24"/>
              </w:rPr>
              <w:t xml:space="preserve"> non-designated hedges). Borrowings should also include balances owed to other group members.</w:t>
            </w:r>
          </w:p>
          <w:p w14:paraId="508BD8A7"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Deferred consideration payable should be included in Net Debt despite typically being non-interest bearing.</w:t>
            </w:r>
          </w:p>
          <w:p w14:paraId="2003646C"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Cash and cash equivalents should include short-term financial investments shown in current assets.</w:t>
            </w:r>
          </w:p>
          <w:p w14:paraId="3D305056"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i/>
                <w:color w:val="000000"/>
                <w:sz w:val="24"/>
                <w:u w:val="single"/>
              </w:rPr>
              <w:t>Net Pension Deficit</w:t>
            </w:r>
            <w:r w:rsidRPr="007621A3">
              <w:rPr>
                <w:rFonts w:ascii="Arial" w:eastAsia="Arial" w:hAnsi="Arial"/>
                <w:color w:val="000000"/>
                <w:sz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0186C990"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lastRenderedPageBreak/>
              <w:t>Where ‘Net Debt + Net Pension Deficit’ is negative, the relevant Financial Target Threshold should be treated as having been met.</w:t>
            </w:r>
          </w:p>
          <w:p w14:paraId="2AEF5661"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i/>
                <w:color w:val="000000"/>
                <w:sz w:val="24"/>
                <w:u w:val="single"/>
              </w:rPr>
              <w:t>EBITDA</w:t>
            </w:r>
            <w:r w:rsidRPr="007621A3">
              <w:rPr>
                <w:rFonts w:ascii="Arial" w:eastAsia="Arial" w:hAnsi="Arial"/>
                <w:color w:val="000000"/>
                <w:sz w:val="24"/>
              </w:rPr>
              <w:t>: Operating profit should be shown on the face of the Income Statement and, for the purposes of calculating this Financial Indicator, should include the entity’s share of the results of any joint ventures or Associates.</w:t>
            </w:r>
          </w:p>
          <w:p w14:paraId="3AD1A281"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bookmarkStart w:id="5" w:name="_heading=h.49x2ik5" w:colFirst="0" w:colLast="0"/>
            <w:bookmarkEnd w:id="5"/>
            <w:r w:rsidRPr="007621A3">
              <w:rPr>
                <w:rFonts w:ascii="Arial" w:eastAsia="Arial" w:hAnsi="Arial"/>
                <w:color w:val="000000"/>
                <w:sz w:val="24"/>
              </w:rPr>
              <w:t xml:space="preserve">The depreciation and amortisation charges for the period may be found on the face of the Statement of Cash Flows or in a Note to the Accounts. </w:t>
            </w:r>
          </w:p>
          <w:p w14:paraId="1753F6FC" w14:textId="2695120A"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4C6C4A" w14:paraId="15E1127F" w14:textId="77777777" w:rsidTr="001D4E2B">
        <w:tc>
          <w:tcPr>
            <w:tcW w:w="2538" w:type="dxa"/>
            <w:vAlign w:val="center"/>
          </w:tcPr>
          <w:p w14:paraId="537CE2FF" w14:textId="4BFD4ED8" w:rsidR="004C6C4A" w:rsidRDefault="00F059A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lastRenderedPageBreak/>
              <w:t>5</w:t>
            </w:r>
          </w:p>
          <w:p w14:paraId="791D241B" w14:textId="4FC68A1C" w:rsidR="004C6C4A" w:rsidRDefault="00F059AA">
            <w:pPr>
              <w:pBdr>
                <w:top w:val="nil"/>
                <w:left w:val="nil"/>
                <w:bottom w:val="nil"/>
                <w:right w:val="nil"/>
                <w:between w:val="nil"/>
              </w:pBdr>
              <w:spacing w:before="100" w:after="200"/>
              <w:jc w:val="left"/>
              <w:rPr>
                <w:rFonts w:ascii="Arial" w:eastAsia="Arial" w:hAnsi="Arial"/>
                <w:b/>
                <w:color w:val="000000"/>
                <w:sz w:val="24"/>
                <w:szCs w:val="24"/>
              </w:rPr>
            </w:pPr>
            <w:r w:rsidRPr="001D4E2B">
              <w:rPr>
                <w:rFonts w:ascii="Arial" w:eastAsia="Arial" w:hAnsi="Arial"/>
                <w:b/>
                <w:color w:val="000000"/>
                <w:sz w:val="24"/>
              </w:rPr>
              <w:t>Net Interest Paid Cover</w:t>
            </w:r>
          </w:p>
        </w:tc>
        <w:tc>
          <w:tcPr>
            <w:tcW w:w="6478" w:type="dxa"/>
          </w:tcPr>
          <w:p w14:paraId="6DFF06FB" w14:textId="0EAD459E" w:rsidR="004C6C4A" w:rsidRPr="007621A3" w:rsidRDefault="00F059AA">
            <w:pPr>
              <w:pBdr>
                <w:top w:val="nil"/>
                <w:left w:val="nil"/>
                <w:bottom w:val="nil"/>
                <w:right w:val="nil"/>
                <w:between w:val="nil"/>
              </w:pBdr>
              <w:spacing w:before="100" w:after="200"/>
              <w:jc w:val="left"/>
              <w:rPr>
                <w:rFonts w:ascii="Arial" w:eastAsia="Arial" w:hAnsi="Arial"/>
                <w:i/>
                <w:color w:val="000000"/>
                <w:sz w:val="24"/>
              </w:rPr>
            </w:pPr>
            <w:r w:rsidRPr="007621A3">
              <w:rPr>
                <w:rFonts w:ascii="Arial" w:eastAsia="Arial" w:hAnsi="Arial"/>
                <w:i/>
                <w:color w:val="000000"/>
                <w:sz w:val="24"/>
              </w:rPr>
              <w:t>“</w:t>
            </w:r>
            <w:r w:rsidRPr="007621A3">
              <w:rPr>
                <w:rFonts w:ascii="Arial" w:eastAsia="Arial" w:hAnsi="Arial"/>
                <w:b/>
                <w:i/>
                <w:color w:val="000000"/>
                <w:sz w:val="24"/>
              </w:rPr>
              <w:t>Earnings Before Interest and Tax</w:t>
            </w:r>
            <w:r w:rsidRPr="007621A3">
              <w:rPr>
                <w:rFonts w:ascii="Arial" w:eastAsia="Arial" w:hAnsi="Arial"/>
                <w:i/>
                <w:color w:val="000000"/>
                <w:sz w:val="24"/>
              </w:rPr>
              <w:t>” = Operating profit</w:t>
            </w:r>
          </w:p>
          <w:p w14:paraId="6BBBD007" w14:textId="77777777" w:rsidR="004C6C4A" w:rsidRPr="007621A3" w:rsidRDefault="00F059AA">
            <w:pPr>
              <w:pBdr>
                <w:top w:val="nil"/>
                <w:left w:val="nil"/>
                <w:bottom w:val="nil"/>
                <w:right w:val="nil"/>
                <w:between w:val="nil"/>
              </w:pBdr>
              <w:spacing w:before="100" w:after="200"/>
              <w:jc w:val="left"/>
              <w:rPr>
                <w:rFonts w:ascii="Arial" w:eastAsia="Arial" w:hAnsi="Arial"/>
                <w:i/>
                <w:color w:val="000000"/>
                <w:sz w:val="24"/>
              </w:rPr>
            </w:pPr>
            <w:r w:rsidRPr="007621A3">
              <w:rPr>
                <w:rFonts w:ascii="Arial" w:eastAsia="Arial" w:hAnsi="Arial"/>
                <w:i/>
                <w:color w:val="000000"/>
                <w:sz w:val="24"/>
              </w:rPr>
              <w:t>“</w:t>
            </w:r>
            <w:r w:rsidRPr="007621A3">
              <w:rPr>
                <w:rFonts w:ascii="Arial" w:eastAsia="Arial" w:hAnsi="Arial"/>
                <w:b/>
                <w:i/>
                <w:color w:val="000000"/>
                <w:sz w:val="24"/>
              </w:rPr>
              <w:t>Net Interest Paid</w:t>
            </w:r>
            <w:r w:rsidRPr="007621A3">
              <w:rPr>
                <w:rFonts w:ascii="Arial" w:eastAsia="Arial" w:hAnsi="Arial"/>
                <w:i/>
                <w:color w:val="000000"/>
                <w:sz w:val="24"/>
              </w:rPr>
              <w:t>” = Interest paid – Interest received</w:t>
            </w:r>
          </w:p>
          <w:p w14:paraId="1F289EB2"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745CD9C5"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Interest received and interest paid should be shown on the face of the Cash Flow statement.</w:t>
            </w:r>
          </w:p>
          <w:p w14:paraId="291B42DE" w14:textId="2854720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Where Net interest paid is negative (i.e. the entity has net interest received), the relevant Financial Target Threshold should be treated as having been met.</w:t>
            </w:r>
          </w:p>
        </w:tc>
      </w:tr>
      <w:tr w:rsidR="004C6C4A" w14:paraId="01D32A2E" w14:textId="77777777" w:rsidTr="007621A3">
        <w:tc>
          <w:tcPr>
            <w:tcW w:w="2538" w:type="dxa"/>
            <w:vAlign w:val="center"/>
          </w:tcPr>
          <w:p w14:paraId="768F4F6D" w14:textId="0C676885" w:rsidR="004C6C4A" w:rsidRDefault="001D4E2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72E6F8C3" w14:textId="0772A880" w:rsidR="004C6C4A" w:rsidRDefault="00F059AA">
            <w:pPr>
              <w:pBdr>
                <w:top w:val="nil"/>
                <w:left w:val="nil"/>
                <w:bottom w:val="nil"/>
                <w:right w:val="nil"/>
                <w:between w:val="nil"/>
              </w:pBdr>
              <w:spacing w:before="100" w:after="200"/>
              <w:jc w:val="left"/>
              <w:rPr>
                <w:rFonts w:ascii="Arial" w:eastAsia="Arial" w:hAnsi="Arial"/>
                <w:b/>
                <w:color w:val="000000"/>
                <w:sz w:val="24"/>
                <w:szCs w:val="24"/>
              </w:rPr>
            </w:pPr>
            <w:r w:rsidRPr="007621A3">
              <w:rPr>
                <w:rFonts w:ascii="Arial" w:eastAsia="Arial" w:hAnsi="Arial"/>
                <w:b/>
                <w:color w:val="000000"/>
                <w:sz w:val="24"/>
              </w:rPr>
              <w:t>Acid Ratio</w:t>
            </w:r>
          </w:p>
        </w:tc>
        <w:tc>
          <w:tcPr>
            <w:tcW w:w="6478" w:type="dxa"/>
          </w:tcPr>
          <w:p w14:paraId="21E24DE6" w14:textId="0188DCD9" w:rsidR="004C6C4A" w:rsidRDefault="001D4E2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rPr>
              <w:t>A</w:t>
            </w:r>
            <w:r w:rsidR="00F059AA" w:rsidRPr="007621A3">
              <w:rPr>
                <w:rFonts w:ascii="Arial" w:eastAsia="Arial" w:hAnsi="Arial"/>
                <w:color w:val="000000"/>
                <w:sz w:val="24"/>
              </w:rPr>
              <w:t>ll elements that are used to calculate the Acid Ratio are available on the face of the Balance Sheet in a standard set of financial statements.</w:t>
            </w:r>
          </w:p>
        </w:tc>
      </w:tr>
      <w:tr w:rsidR="004C6C4A" w14:paraId="792B65C8" w14:textId="77777777" w:rsidTr="007621A3">
        <w:tc>
          <w:tcPr>
            <w:tcW w:w="2538" w:type="dxa"/>
            <w:vAlign w:val="center"/>
          </w:tcPr>
          <w:p w14:paraId="1D05CDFA" w14:textId="6A66DE7F" w:rsidR="004C6C4A" w:rsidRDefault="001D4E2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02BBAA32" w14:textId="54B6DB5D" w:rsidR="004C6C4A" w:rsidRDefault="00F059AA">
            <w:pPr>
              <w:pBdr>
                <w:top w:val="nil"/>
                <w:left w:val="nil"/>
                <w:bottom w:val="nil"/>
                <w:right w:val="nil"/>
                <w:between w:val="nil"/>
              </w:pBdr>
              <w:spacing w:before="100" w:after="200"/>
              <w:jc w:val="left"/>
              <w:rPr>
                <w:rFonts w:ascii="Arial" w:eastAsia="Arial" w:hAnsi="Arial"/>
                <w:b/>
                <w:color w:val="000000"/>
                <w:sz w:val="24"/>
                <w:szCs w:val="24"/>
              </w:rPr>
            </w:pPr>
            <w:r w:rsidRPr="007621A3">
              <w:rPr>
                <w:rFonts w:ascii="Arial" w:eastAsia="Arial" w:hAnsi="Arial"/>
                <w:b/>
                <w:color w:val="000000"/>
                <w:sz w:val="24"/>
              </w:rPr>
              <w:t>Net Asset value</w:t>
            </w:r>
          </w:p>
        </w:tc>
        <w:tc>
          <w:tcPr>
            <w:tcW w:w="6478" w:type="dxa"/>
          </w:tcPr>
          <w:p w14:paraId="747CF762" w14:textId="15DEA38B"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w:t>
            </w:r>
            <w:r w:rsidRPr="007621A3">
              <w:rPr>
                <w:rFonts w:ascii="Arial" w:eastAsia="Arial" w:hAnsi="Arial"/>
                <w:color w:val="000000"/>
                <w:sz w:val="24"/>
              </w:rPr>
              <w:lastRenderedPageBreak/>
              <w:t>Assets should be taken inclusive of minority or non-controlling interests (as if the entity owned 100% of such entity).</w:t>
            </w:r>
          </w:p>
        </w:tc>
      </w:tr>
      <w:tr w:rsidR="004C6C4A" w14:paraId="67636E10" w14:textId="77777777" w:rsidTr="007621A3">
        <w:tc>
          <w:tcPr>
            <w:tcW w:w="2538" w:type="dxa"/>
            <w:vAlign w:val="center"/>
          </w:tcPr>
          <w:p w14:paraId="10ECB241" w14:textId="62BC1DA5" w:rsidR="004C6C4A" w:rsidRDefault="0040002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8</w:t>
            </w:r>
          </w:p>
          <w:p w14:paraId="637F202F" w14:textId="65CA3607" w:rsidR="004C6C4A" w:rsidRDefault="00F059AA">
            <w:pPr>
              <w:pBdr>
                <w:top w:val="nil"/>
                <w:left w:val="nil"/>
                <w:bottom w:val="nil"/>
                <w:right w:val="nil"/>
                <w:between w:val="nil"/>
              </w:pBdr>
              <w:spacing w:before="100" w:after="200"/>
              <w:jc w:val="left"/>
              <w:rPr>
                <w:rFonts w:ascii="Arial" w:eastAsia="Arial" w:hAnsi="Arial"/>
                <w:b/>
                <w:color w:val="000000"/>
                <w:sz w:val="24"/>
                <w:szCs w:val="24"/>
              </w:rPr>
            </w:pPr>
            <w:r w:rsidRPr="007621A3">
              <w:rPr>
                <w:rFonts w:ascii="Arial" w:eastAsia="Arial" w:hAnsi="Arial"/>
                <w:b/>
                <w:color w:val="000000"/>
                <w:sz w:val="24"/>
              </w:rPr>
              <w:t>Group Exposure Ratio</w:t>
            </w:r>
          </w:p>
        </w:tc>
        <w:tc>
          <w:tcPr>
            <w:tcW w:w="6478" w:type="dxa"/>
          </w:tcPr>
          <w:p w14:paraId="1F028A3C" w14:textId="1987AABF" w:rsidR="004C6C4A" w:rsidRPr="007621A3" w:rsidRDefault="00F059AA">
            <w:pPr>
              <w:pBdr>
                <w:top w:val="nil"/>
                <w:left w:val="nil"/>
                <w:bottom w:val="nil"/>
                <w:right w:val="nil"/>
                <w:between w:val="nil"/>
              </w:pBdr>
              <w:spacing w:before="100" w:after="200"/>
              <w:jc w:val="left"/>
              <w:rPr>
                <w:rFonts w:ascii="Arial" w:eastAsia="Arial" w:hAnsi="Arial"/>
                <w:i/>
                <w:color w:val="000000"/>
                <w:sz w:val="24"/>
              </w:rPr>
            </w:pPr>
            <w:r w:rsidRPr="007621A3">
              <w:rPr>
                <w:rFonts w:ascii="Arial" w:eastAsia="Arial" w:hAnsi="Arial"/>
                <w:i/>
                <w:color w:val="000000"/>
                <w:sz w:val="24"/>
              </w:rPr>
              <w:t>“</w:t>
            </w:r>
            <w:r w:rsidRPr="007621A3">
              <w:rPr>
                <w:rFonts w:ascii="Arial" w:eastAsia="Arial" w:hAnsi="Arial"/>
                <w:b/>
                <w:i/>
                <w:color w:val="000000"/>
                <w:sz w:val="24"/>
              </w:rPr>
              <w:t>Group Exposure</w:t>
            </w:r>
            <w:r w:rsidRPr="007621A3">
              <w:rPr>
                <w:rFonts w:ascii="Arial" w:eastAsia="Arial" w:hAnsi="Arial"/>
                <w:i/>
                <w:color w:val="000000"/>
                <w:sz w:val="24"/>
              </w:rPr>
              <w:t>” = Balances owed by Group Undertakings + Contingent liabilities assumed in support of Group Undertakings</w:t>
            </w:r>
          </w:p>
          <w:p w14:paraId="3F7DED7F" w14:textId="77777777" w:rsidR="004C6C4A" w:rsidRPr="007621A3" w:rsidRDefault="00F059AA">
            <w:pPr>
              <w:pBdr>
                <w:top w:val="nil"/>
                <w:left w:val="nil"/>
                <w:bottom w:val="nil"/>
                <w:right w:val="nil"/>
                <w:between w:val="nil"/>
              </w:pBdr>
              <w:spacing w:before="100" w:after="200"/>
              <w:jc w:val="left"/>
              <w:rPr>
                <w:rFonts w:ascii="Arial" w:eastAsia="Arial" w:hAnsi="Arial"/>
                <w:i/>
                <w:color w:val="000000"/>
                <w:sz w:val="24"/>
              </w:rPr>
            </w:pPr>
            <w:r w:rsidRPr="007621A3">
              <w:rPr>
                <w:rFonts w:ascii="Arial" w:eastAsia="Arial" w:hAnsi="Arial"/>
                <w:i/>
                <w:color w:val="000000"/>
                <w:sz w:val="24"/>
              </w:rPr>
              <w:t>“</w:t>
            </w:r>
            <w:r w:rsidRPr="007621A3">
              <w:rPr>
                <w:rFonts w:ascii="Arial" w:eastAsia="Arial" w:hAnsi="Arial"/>
                <w:b/>
                <w:i/>
                <w:color w:val="000000"/>
                <w:sz w:val="24"/>
              </w:rPr>
              <w:t>Gross Assets</w:t>
            </w:r>
            <w:r w:rsidRPr="007621A3">
              <w:rPr>
                <w:rFonts w:ascii="Arial" w:eastAsia="Arial" w:hAnsi="Arial"/>
                <w:i/>
                <w:color w:val="000000"/>
                <w:sz w:val="24"/>
              </w:rPr>
              <w:t>” = Fixed Assets + Current Assets</w:t>
            </w:r>
          </w:p>
          <w:p w14:paraId="5D0D08D6"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i/>
                <w:color w:val="000000"/>
                <w:sz w:val="24"/>
                <w:u w:val="single"/>
              </w:rPr>
              <w:t>Group Exposure</w:t>
            </w:r>
            <w:r w:rsidRPr="007621A3">
              <w:rPr>
                <w:rFonts w:ascii="Arial" w:eastAsia="Arial" w:hAnsi="Arial"/>
                <w:color w:val="000000"/>
                <w:sz w:val="24"/>
              </w:rPr>
              <w:t>:  Balances owed by (</w:t>
            </w:r>
            <w:proofErr w:type="spellStart"/>
            <w:r w:rsidRPr="007621A3">
              <w:rPr>
                <w:rFonts w:ascii="Arial" w:eastAsia="Arial" w:hAnsi="Arial"/>
                <w:color w:val="000000"/>
                <w:sz w:val="24"/>
              </w:rPr>
              <w:t>ie</w:t>
            </w:r>
            <w:proofErr w:type="spellEnd"/>
            <w:r w:rsidRPr="007621A3">
              <w:rPr>
                <w:rFonts w:ascii="Arial" w:eastAsia="Arial" w:hAnsi="Arial"/>
                <w:color w:val="000000"/>
                <w:sz w:val="24"/>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5818E291"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4DB8B2EF" w14:textId="77777777"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color w:val="000000"/>
                <w:sz w:val="24"/>
              </w:rPr>
              <w:t>In many cases an entity may not have assumed any contingent liabilities in support of Group Undertakings, in particular where an entity is not a member of a group or is itself the ultimate holding company of the group.</w:t>
            </w:r>
          </w:p>
          <w:p w14:paraId="41B567FF" w14:textId="04AE3310" w:rsidR="004C6C4A" w:rsidRPr="007621A3" w:rsidRDefault="00F059AA">
            <w:pPr>
              <w:pBdr>
                <w:top w:val="nil"/>
                <w:left w:val="nil"/>
                <w:bottom w:val="nil"/>
                <w:right w:val="nil"/>
                <w:between w:val="nil"/>
              </w:pBdr>
              <w:spacing w:before="100" w:after="200"/>
              <w:jc w:val="left"/>
              <w:rPr>
                <w:rFonts w:ascii="Arial" w:eastAsia="Arial" w:hAnsi="Arial"/>
                <w:color w:val="000000"/>
                <w:sz w:val="24"/>
              </w:rPr>
            </w:pPr>
            <w:r w:rsidRPr="007621A3">
              <w:rPr>
                <w:rFonts w:ascii="Arial" w:eastAsia="Arial" w:hAnsi="Arial"/>
                <w:i/>
                <w:color w:val="000000"/>
                <w:sz w:val="24"/>
                <w:u w:val="single"/>
              </w:rPr>
              <w:t>Gross Assets</w:t>
            </w:r>
            <w:r w:rsidRPr="007621A3">
              <w:rPr>
                <w:rFonts w:ascii="Arial" w:eastAsia="Arial" w:hAnsi="Arial"/>
                <w:color w:val="000000"/>
                <w:sz w:val="24"/>
              </w:rPr>
              <w:t>: Both Fixed assets and Current assets are shown on the face of the Balance Sheet</w:t>
            </w:r>
          </w:p>
        </w:tc>
      </w:tr>
    </w:tbl>
    <w:p w14:paraId="09095BFF"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471AE87A" w14:textId="77777777" w:rsidR="004C6C4A" w:rsidRDefault="00F059AA">
      <w:pPr>
        <w:spacing w:after="200" w:line="276" w:lineRule="auto"/>
        <w:jc w:val="left"/>
        <w:rPr>
          <w:rFonts w:ascii="Arial" w:eastAsia="Arial" w:hAnsi="Arial"/>
          <w:sz w:val="24"/>
          <w:szCs w:val="24"/>
        </w:rPr>
      </w:pPr>
      <w:r>
        <w:br w:type="page"/>
      </w:r>
    </w:p>
    <w:p w14:paraId="607FB9EA" w14:textId="0B1859F5" w:rsidR="004C6C4A" w:rsidRPr="00A521D0" w:rsidRDefault="00F059AA" w:rsidP="00A521D0">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6" w:name="_heading=h.2p2csry" w:colFirst="0" w:colLast="0"/>
      <w:bookmarkEnd w:id="6"/>
      <w:r>
        <w:rPr>
          <w:rFonts w:ascii="Arial Bold" w:eastAsia="Arial Bold" w:hAnsi="Arial Bold" w:cs="Arial Bold"/>
          <w:b/>
          <w:smallCaps/>
          <w:color w:val="000000"/>
          <w:sz w:val="24"/>
          <w:szCs w:val="24"/>
        </w:rPr>
        <w:lastRenderedPageBreak/>
        <w:t>Annex 4: Board Confirmation</w:t>
      </w:r>
    </w:p>
    <w:p w14:paraId="1F0C343B" w14:textId="77777777" w:rsidR="004C6C4A" w:rsidRDefault="00F059A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323C7654" w14:textId="77777777" w:rsidR="004C6C4A" w:rsidRDefault="00F059A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54944583"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573B99FD" w14:textId="77777777" w:rsidR="004C6C4A" w:rsidRDefault="00F059AA">
      <w:pPr>
        <w:pBdr>
          <w:top w:val="nil"/>
          <w:left w:val="nil"/>
          <w:bottom w:val="nil"/>
          <w:right w:val="nil"/>
          <w:between w:val="nil"/>
        </w:pBdr>
        <w:spacing w:before="100" w:after="200"/>
        <w:ind w:left="720"/>
        <w:jc w:val="left"/>
        <w:rPr>
          <w:rFonts w:ascii="Arial" w:eastAsia="Arial" w:hAnsi="Arial"/>
          <w:color w:val="000000"/>
          <w:sz w:val="24"/>
          <w:szCs w:val="24"/>
        </w:rPr>
      </w:pPr>
      <w:bookmarkStart w:id="7" w:name="_heading=h.147n2zr" w:colFirst="0" w:colLast="0"/>
      <w:bookmarkEnd w:id="7"/>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248F723A" w14:textId="77777777" w:rsidR="004C6C4A" w:rsidRDefault="00F059AA">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2E1DE374" w14:textId="77777777" w:rsidR="004C6C4A" w:rsidRDefault="00F059AA" w:rsidP="007621A3">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4BAB9E73" w14:textId="77777777" w:rsidR="004C6C4A" w:rsidRDefault="00F059AA" w:rsidP="007621A3">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14:paraId="11EA7C4B"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6BAF0CE7" w14:textId="77777777" w:rsidR="004C6C4A" w:rsidRDefault="00F059AA">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358EFAF2"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493DE7A9" w14:textId="77777777" w:rsidR="004C6C4A" w:rsidRDefault="00F059A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66ED1EC0" w14:textId="77777777" w:rsidR="004C6C4A" w:rsidRDefault="00F059A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31C19C38" w14:textId="77777777" w:rsidR="004C6C4A" w:rsidRDefault="00F059A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6B92DC78"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7C20D669" w14:textId="77777777" w:rsidR="004C6C4A" w:rsidRDefault="00F059A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12CE6CDD" w14:textId="77777777" w:rsidR="004C6C4A" w:rsidRDefault="00F059A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1433115C" w14:textId="77777777" w:rsidR="004C6C4A" w:rsidRDefault="00F059A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062DBD4F" w14:textId="77777777" w:rsidR="004C6C4A" w:rsidRDefault="004C6C4A">
      <w:pPr>
        <w:pBdr>
          <w:top w:val="nil"/>
          <w:left w:val="nil"/>
          <w:bottom w:val="nil"/>
          <w:right w:val="nil"/>
          <w:between w:val="nil"/>
        </w:pBdr>
        <w:spacing w:before="100" w:after="200"/>
        <w:jc w:val="left"/>
        <w:rPr>
          <w:rFonts w:ascii="Arial" w:eastAsia="Arial" w:hAnsi="Arial"/>
          <w:color w:val="000000"/>
          <w:sz w:val="24"/>
          <w:szCs w:val="24"/>
        </w:rPr>
      </w:pPr>
    </w:p>
    <w:p w14:paraId="23C42CBC" w14:textId="56EE7F94" w:rsidR="004C6C4A" w:rsidRDefault="004C6C4A">
      <w:pPr>
        <w:spacing w:after="200" w:line="276" w:lineRule="auto"/>
        <w:jc w:val="left"/>
        <w:rPr>
          <w:rFonts w:ascii="Arial" w:eastAsia="Arial" w:hAnsi="Arial"/>
          <w:sz w:val="24"/>
          <w:szCs w:val="24"/>
        </w:rPr>
      </w:pPr>
    </w:p>
    <w:p w14:paraId="57D7EF55" w14:textId="77777777" w:rsidR="008819E8" w:rsidRDefault="008819E8">
      <w:pPr>
        <w:spacing w:after="200" w:line="276" w:lineRule="auto"/>
        <w:jc w:val="left"/>
        <w:rPr>
          <w:rFonts w:ascii="Arial" w:eastAsia="Arial" w:hAnsi="Arial"/>
          <w:b/>
          <w:smallCaps/>
          <w:sz w:val="36"/>
          <w:szCs w:val="36"/>
        </w:rPr>
      </w:pPr>
    </w:p>
    <w:p w14:paraId="765656C3" w14:textId="77777777" w:rsidR="008819E8" w:rsidRDefault="008819E8">
      <w:pPr>
        <w:spacing w:after="200" w:line="276" w:lineRule="auto"/>
        <w:jc w:val="left"/>
        <w:rPr>
          <w:rFonts w:ascii="Arial" w:eastAsia="Arial" w:hAnsi="Arial"/>
          <w:b/>
          <w:smallCaps/>
          <w:sz w:val="36"/>
          <w:szCs w:val="36"/>
        </w:rPr>
      </w:pPr>
    </w:p>
    <w:p w14:paraId="7F71720A" w14:textId="49331FFA" w:rsidR="004C6C4A" w:rsidRDefault="00F059AA">
      <w:pPr>
        <w:spacing w:after="200" w:line="276" w:lineRule="auto"/>
        <w:jc w:val="left"/>
        <w:rPr>
          <w:rFonts w:ascii="Arial" w:eastAsia="Arial" w:hAnsi="Arial"/>
          <w:b/>
          <w:smallCaps/>
          <w:sz w:val="36"/>
          <w:szCs w:val="36"/>
        </w:rPr>
      </w:pPr>
      <w:r>
        <w:rPr>
          <w:rFonts w:ascii="Arial" w:eastAsia="Arial" w:hAnsi="Arial"/>
          <w:b/>
          <w:smallCaps/>
          <w:sz w:val="36"/>
          <w:szCs w:val="36"/>
        </w:rPr>
        <w:lastRenderedPageBreak/>
        <w:t>ANNEX 5: OPTIONAL CLAUSES FOR BRONZE CONTRACTS</w:t>
      </w:r>
      <w:r w:rsidR="00812310">
        <w:rPr>
          <w:rFonts w:ascii="Arial" w:eastAsia="Arial" w:hAnsi="Arial"/>
          <w:b/>
          <w:smallCaps/>
          <w:sz w:val="36"/>
          <w:szCs w:val="36"/>
        </w:rPr>
        <w:t xml:space="preserve"> – Not Used</w:t>
      </w:r>
    </w:p>
    <w:p w14:paraId="3E30D7B4" w14:textId="77777777" w:rsidR="004C6C4A" w:rsidRPr="007621A3" w:rsidRDefault="00F059AA" w:rsidP="007621A3">
      <w:pPr>
        <w:keepNext/>
        <w:numPr>
          <w:ilvl w:val="0"/>
          <w:numId w:val="4"/>
        </w:numPr>
        <w:tabs>
          <w:tab w:val="left" w:pos="142"/>
        </w:tabs>
        <w:spacing w:before="120"/>
        <w:jc w:val="left"/>
        <w:rPr>
          <w:rFonts w:ascii="Arial Bold" w:eastAsia="Arial Bold" w:hAnsi="Arial Bold"/>
        </w:rPr>
      </w:pPr>
      <w:r w:rsidRPr="007621A3">
        <w:rPr>
          <w:rFonts w:ascii="Arial Bold" w:eastAsia="Arial Bold" w:hAnsi="Arial Bold"/>
          <w:b/>
          <w:sz w:val="24"/>
        </w:rPr>
        <w:t>Definitions</w:t>
      </w:r>
    </w:p>
    <w:p w14:paraId="72CFE7C8" w14:textId="77777777" w:rsidR="004C6C4A" w:rsidRPr="007621A3" w:rsidRDefault="00F059AA" w:rsidP="007621A3">
      <w:pPr>
        <w:keepNext/>
        <w:numPr>
          <w:ilvl w:val="1"/>
          <w:numId w:val="4"/>
        </w:numPr>
        <w:tabs>
          <w:tab w:val="left" w:pos="1134"/>
        </w:tabs>
        <w:spacing w:before="120" w:after="120"/>
        <w:ind w:hanging="360"/>
        <w:jc w:val="left"/>
      </w:pPr>
      <w:r w:rsidRPr="007621A3">
        <w:rPr>
          <w:rFonts w:ascii="Arial" w:eastAsia="Arial" w:hAnsi="Arial"/>
          <w:sz w:val="24"/>
        </w:rPr>
        <w:t>In this Annex 5, the following words shall have the following meanings and they shall supplement Joint Schedule 1 (Definitions):</w:t>
      </w:r>
    </w:p>
    <w:tbl>
      <w:tblPr>
        <w:tblStyle w:val="3"/>
        <w:tblW w:w="7560"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4C6C4A" w14:paraId="09590951" w14:textId="77777777" w:rsidTr="007621A3">
        <w:tc>
          <w:tcPr>
            <w:tcW w:w="2462" w:type="dxa"/>
          </w:tcPr>
          <w:p w14:paraId="2CFBEA3B" w14:textId="77777777" w:rsidR="004C6C4A" w:rsidRPr="007621A3" w:rsidRDefault="00F059AA" w:rsidP="007621A3">
            <w:pPr>
              <w:spacing w:after="120"/>
              <w:ind w:left="-108"/>
              <w:jc w:val="left"/>
              <w:rPr>
                <w:rFonts w:ascii="Arial" w:eastAsia="Arial" w:hAnsi="Arial"/>
                <w:b/>
                <w:sz w:val="24"/>
              </w:rPr>
            </w:pPr>
            <w:r w:rsidRPr="007621A3">
              <w:rPr>
                <w:rFonts w:ascii="Arial" w:eastAsia="Arial" w:hAnsi="Arial"/>
                <w:b/>
                <w:sz w:val="24"/>
              </w:rPr>
              <w:t>"Credit Rating Threshold"</w:t>
            </w:r>
          </w:p>
        </w:tc>
        <w:tc>
          <w:tcPr>
            <w:tcW w:w="5098" w:type="dxa"/>
          </w:tcPr>
          <w:p w14:paraId="5755959A" w14:textId="77777777" w:rsidR="004C6C4A" w:rsidRPr="007621A3" w:rsidRDefault="00F059AA" w:rsidP="007621A3">
            <w:pPr>
              <w:numPr>
                <w:ilvl w:val="0"/>
                <w:numId w:val="1"/>
              </w:numPr>
              <w:tabs>
                <w:tab w:val="left" w:pos="175"/>
              </w:tabs>
              <w:spacing w:after="120"/>
              <w:jc w:val="left"/>
              <w:rPr>
                <w:sz w:val="24"/>
              </w:rPr>
            </w:pPr>
            <w:r w:rsidRPr="007621A3">
              <w:rPr>
                <w:rFonts w:ascii="Arial" w:eastAsia="Arial" w:hAnsi="Arial"/>
                <w:sz w:val="24"/>
              </w:rPr>
              <w:t>the minimum credit rating level for the Monitored Company as set out in Appendix 2;</w:t>
            </w:r>
          </w:p>
        </w:tc>
      </w:tr>
      <w:tr w:rsidR="004C6C4A" w14:paraId="782489F4" w14:textId="77777777" w:rsidTr="007621A3">
        <w:tc>
          <w:tcPr>
            <w:tcW w:w="2462" w:type="dxa"/>
          </w:tcPr>
          <w:p w14:paraId="37C73022" w14:textId="77777777" w:rsidR="004C6C4A" w:rsidRPr="007621A3" w:rsidRDefault="00F059AA" w:rsidP="007621A3">
            <w:pPr>
              <w:spacing w:after="120"/>
              <w:ind w:left="-108"/>
              <w:jc w:val="left"/>
              <w:rPr>
                <w:rFonts w:ascii="Arial" w:eastAsia="Arial" w:hAnsi="Arial"/>
                <w:b/>
                <w:sz w:val="24"/>
              </w:rPr>
            </w:pPr>
            <w:r w:rsidRPr="007621A3">
              <w:rPr>
                <w:rFonts w:ascii="Arial" w:eastAsia="Arial" w:hAnsi="Arial"/>
                <w:b/>
                <w:sz w:val="24"/>
              </w:rPr>
              <w:t>"Financial Distress Event"</w:t>
            </w:r>
          </w:p>
        </w:tc>
        <w:tc>
          <w:tcPr>
            <w:tcW w:w="5098" w:type="dxa"/>
          </w:tcPr>
          <w:p w14:paraId="6F8E5BAB" w14:textId="77777777" w:rsidR="004C6C4A" w:rsidRPr="007621A3" w:rsidRDefault="00F059AA" w:rsidP="007621A3">
            <w:pPr>
              <w:numPr>
                <w:ilvl w:val="0"/>
                <w:numId w:val="1"/>
              </w:numPr>
              <w:tabs>
                <w:tab w:val="left" w:pos="175"/>
              </w:tabs>
              <w:spacing w:after="120"/>
              <w:jc w:val="left"/>
              <w:rPr>
                <w:sz w:val="24"/>
              </w:rPr>
            </w:pPr>
            <w:r w:rsidRPr="007621A3">
              <w:rPr>
                <w:rFonts w:ascii="Arial" w:eastAsia="Arial" w:hAnsi="Arial"/>
                <w:sz w:val="24"/>
              </w:rPr>
              <w:t>the occurrence or one or more of the following events:</w:t>
            </w:r>
          </w:p>
          <w:p w14:paraId="435FAEB9" w14:textId="77777777" w:rsidR="004C6C4A" w:rsidRPr="007621A3" w:rsidRDefault="00F059AA" w:rsidP="007621A3">
            <w:pPr>
              <w:numPr>
                <w:ilvl w:val="1"/>
                <w:numId w:val="1"/>
              </w:numPr>
              <w:tabs>
                <w:tab w:val="left" w:pos="175"/>
              </w:tabs>
              <w:spacing w:after="120"/>
              <w:ind w:hanging="544"/>
              <w:jc w:val="left"/>
              <w:rPr>
                <w:rFonts w:ascii="Arial" w:eastAsia="Arial" w:hAnsi="Arial"/>
                <w:sz w:val="24"/>
              </w:rPr>
            </w:pPr>
            <w:r w:rsidRPr="007621A3">
              <w:rPr>
                <w:rFonts w:ascii="Arial" w:eastAsia="Arial" w:hAnsi="Arial"/>
                <w:sz w:val="24"/>
              </w:rPr>
              <w:t xml:space="preserve">the credit rating of the Monitored Company dropping below the applicable Credit Rating </w:t>
            </w:r>
            <w:proofErr w:type="gramStart"/>
            <w:r w:rsidRPr="007621A3">
              <w:rPr>
                <w:rFonts w:ascii="Arial" w:eastAsia="Arial" w:hAnsi="Arial"/>
                <w:sz w:val="24"/>
              </w:rPr>
              <w:t>Threshold;</w:t>
            </w:r>
            <w:proofErr w:type="gramEnd"/>
          </w:p>
          <w:p w14:paraId="48BED5EF" w14:textId="77777777" w:rsidR="004C6C4A" w:rsidRPr="007621A3" w:rsidRDefault="00F059AA" w:rsidP="007621A3">
            <w:pPr>
              <w:numPr>
                <w:ilvl w:val="1"/>
                <w:numId w:val="1"/>
              </w:numPr>
              <w:tabs>
                <w:tab w:val="left" w:pos="175"/>
              </w:tabs>
              <w:spacing w:after="120"/>
              <w:ind w:hanging="544"/>
              <w:jc w:val="left"/>
              <w:rPr>
                <w:rFonts w:ascii="Arial" w:eastAsia="Arial" w:hAnsi="Arial"/>
                <w:sz w:val="24"/>
              </w:rPr>
            </w:pPr>
            <w:r w:rsidRPr="007621A3">
              <w:rPr>
                <w:rFonts w:ascii="Arial" w:eastAsia="Arial" w:hAnsi="Arial"/>
                <w:sz w:val="24"/>
              </w:rPr>
              <w:t xml:space="preserve">the Monitored Company issuing a profits warning to a stock exchange or making any other public announcement about a material deterioration in its financial position or </w:t>
            </w:r>
            <w:proofErr w:type="gramStart"/>
            <w:r w:rsidRPr="007621A3">
              <w:rPr>
                <w:rFonts w:ascii="Arial" w:eastAsia="Arial" w:hAnsi="Arial"/>
                <w:sz w:val="24"/>
              </w:rPr>
              <w:t>prospects;</w:t>
            </w:r>
            <w:proofErr w:type="gramEnd"/>
          </w:p>
          <w:p w14:paraId="5C220CC9" w14:textId="77777777" w:rsidR="004C6C4A" w:rsidRPr="007621A3" w:rsidRDefault="00F059AA" w:rsidP="007621A3">
            <w:pPr>
              <w:numPr>
                <w:ilvl w:val="1"/>
                <w:numId w:val="1"/>
              </w:numPr>
              <w:tabs>
                <w:tab w:val="left" w:pos="175"/>
              </w:tabs>
              <w:spacing w:after="120"/>
              <w:ind w:hanging="544"/>
              <w:jc w:val="left"/>
              <w:rPr>
                <w:rFonts w:ascii="Arial" w:eastAsia="Arial" w:hAnsi="Arial"/>
                <w:sz w:val="24"/>
              </w:rPr>
            </w:pPr>
            <w:r w:rsidRPr="007621A3">
              <w:rPr>
                <w:rFonts w:ascii="Arial" w:eastAsia="Arial" w:hAnsi="Arial"/>
                <w:sz w:val="24"/>
              </w:rPr>
              <w:t xml:space="preserve">there being a public investigation into improper financial accounting and reporting, suspected fraud or any other impropriety of the Monitored </w:t>
            </w:r>
            <w:proofErr w:type="gramStart"/>
            <w:r w:rsidRPr="007621A3">
              <w:rPr>
                <w:rFonts w:ascii="Arial" w:eastAsia="Arial" w:hAnsi="Arial"/>
                <w:sz w:val="24"/>
              </w:rPr>
              <w:t>Party;</w:t>
            </w:r>
            <w:proofErr w:type="gramEnd"/>
            <w:r w:rsidRPr="007621A3">
              <w:rPr>
                <w:rFonts w:ascii="Arial" w:eastAsia="Arial" w:hAnsi="Arial"/>
                <w:sz w:val="24"/>
              </w:rPr>
              <w:t xml:space="preserve"> </w:t>
            </w:r>
          </w:p>
          <w:p w14:paraId="2151687E" w14:textId="77777777" w:rsidR="004C6C4A" w:rsidRPr="007621A3" w:rsidRDefault="00F059AA" w:rsidP="007621A3">
            <w:pPr>
              <w:numPr>
                <w:ilvl w:val="1"/>
                <w:numId w:val="1"/>
              </w:numPr>
              <w:tabs>
                <w:tab w:val="left" w:pos="175"/>
              </w:tabs>
              <w:spacing w:after="120"/>
              <w:ind w:hanging="544"/>
              <w:jc w:val="left"/>
              <w:rPr>
                <w:rFonts w:ascii="Arial" w:eastAsia="Arial" w:hAnsi="Arial"/>
                <w:sz w:val="24"/>
              </w:rPr>
            </w:pPr>
            <w:r w:rsidRPr="007621A3">
              <w:rPr>
                <w:rFonts w:ascii="Arial" w:eastAsia="Arial" w:hAnsi="Arial"/>
                <w:sz w:val="24"/>
              </w:rPr>
              <w:t xml:space="preserve">Monitored Company committing a material breach of covenant to its </w:t>
            </w:r>
            <w:proofErr w:type="gramStart"/>
            <w:r w:rsidRPr="007621A3">
              <w:rPr>
                <w:rFonts w:ascii="Arial" w:eastAsia="Arial" w:hAnsi="Arial"/>
                <w:sz w:val="24"/>
              </w:rPr>
              <w:t>lenders;</w:t>
            </w:r>
            <w:proofErr w:type="gramEnd"/>
            <w:r w:rsidRPr="007621A3">
              <w:rPr>
                <w:rFonts w:ascii="Arial" w:eastAsia="Arial" w:hAnsi="Arial"/>
                <w:sz w:val="24"/>
              </w:rPr>
              <w:t xml:space="preserve"> </w:t>
            </w:r>
          </w:p>
          <w:p w14:paraId="4B226BB6" w14:textId="77777777" w:rsidR="004C6C4A" w:rsidRPr="007621A3" w:rsidRDefault="00F059AA" w:rsidP="007621A3">
            <w:pPr>
              <w:numPr>
                <w:ilvl w:val="1"/>
                <w:numId w:val="1"/>
              </w:numPr>
              <w:tabs>
                <w:tab w:val="left" w:pos="175"/>
              </w:tabs>
              <w:spacing w:after="120"/>
              <w:ind w:hanging="544"/>
              <w:jc w:val="left"/>
              <w:rPr>
                <w:rFonts w:ascii="Arial" w:eastAsia="Arial" w:hAnsi="Arial"/>
                <w:sz w:val="24"/>
              </w:rPr>
            </w:pPr>
            <w:r w:rsidRPr="007621A3">
              <w:rPr>
                <w:rFonts w:ascii="Arial" w:eastAsia="Arial" w:hAnsi="Arial"/>
                <w:sz w:val="24"/>
              </w:rPr>
              <w:t>a Key Subcontractor (where applicable) notifying CCS that the Supplier has not satisfied any sums properly due under a specified invoice and not subject to a genuine dispute; or</w:t>
            </w:r>
          </w:p>
          <w:p w14:paraId="028AF8F7" w14:textId="77777777" w:rsidR="004C6C4A" w:rsidRPr="007621A3" w:rsidRDefault="00F059AA" w:rsidP="007621A3">
            <w:pPr>
              <w:numPr>
                <w:ilvl w:val="1"/>
                <w:numId w:val="1"/>
              </w:numPr>
              <w:tabs>
                <w:tab w:val="left" w:pos="175"/>
              </w:tabs>
              <w:spacing w:after="120"/>
              <w:ind w:hanging="544"/>
              <w:jc w:val="left"/>
              <w:rPr>
                <w:rFonts w:ascii="Arial" w:eastAsia="Arial" w:hAnsi="Arial"/>
                <w:sz w:val="24"/>
              </w:rPr>
            </w:pPr>
            <w:r w:rsidRPr="007621A3">
              <w:rPr>
                <w:rFonts w:ascii="Arial" w:eastAsia="Arial" w:hAnsi="Arial"/>
                <w:sz w:val="24"/>
              </w:rPr>
              <w:t>any of the following:</w:t>
            </w:r>
          </w:p>
          <w:p w14:paraId="287DD906" w14:textId="77777777" w:rsidR="004C6C4A" w:rsidRPr="007621A3" w:rsidRDefault="00F059AA" w:rsidP="007621A3">
            <w:pPr>
              <w:numPr>
                <w:ilvl w:val="2"/>
                <w:numId w:val="1"/>
              </w:numPr>
              <w:tabs>
                <w:tab w:val="left" w:pos="175"/>
              </w:tabs>
              <w:spacing w:after="120"/>
              <w:jc w:val="left"/>
              <w:rPr>
                <w:sz w:val="24"/>
              </w:rPr>
            </w:pPr>
            <w:r w:rsidRPr="007621A3">
              <w:rPr>
                <w:rFonts w:ascii="Arial" w:eastAsia="Arial" w:hAnsi="Arial"/>
                <w:sz w:val="24"/>
              </w:rPr>
              <w:t xml:space="preserve">commencement of any litigation against the Monitored Company with respect to financial indebtedness or obligations under a </w:t>
            </w:r>
            <w:proofErr w:type="gramStart"/>
            <w:r w:rsidRPr="007621A3">
              <w:rPr>
                <w:rFonts w:ascii="Arial" w:eastAsia="Arial" w:hAnsi="Arial"/>
                <w:sz w:val="24"/>
              </w:rPr>
              <w:t>contract;</w:t>
            </w:r>
            <w:proofErr w:type="gramEnd"/>
            <w:r w:rsidRPr="007621A3">
              <w:rPr>
                <w:rFonts w:ascii="Arial" w:eastAsia="Arial" w:hAnsi="Arial"/>
                <w:sz w:val="24"/>
              </w:rPr>
              <w:t xml:space="preserve"> </w:t>
            </w:r>
          </w:p>
          <w:p w14:paraId="7EFB84FC" w14:textId="77777777" w:rsidR="004C6C4A" w:rsidRPr="007621A3" w:rsidRDefault="00F059AA" w:rsidP="007621A3">
            <w:pPr>
              <w:numPr>
                <w:ilvl w:val="2"/>
                <w:numId w:val="1"/>
              </w:numPr>
              <w:tabs>
                <w:tab w:val="left" w:pos="175"/>
              </w:tabs>
              <w:spacing w:after="120"/>
              <w:jc w:val="left"/>
              <w:rPr>
                <w:sz w:val="24"/>
              </w:rPr>
            </w:pPr>
            <w:r w:rsidRPr="007621A3">
              <w:rPr>
                <w:rFonts w:ascii="Arial" w:eastAsia="Arial" w:hAnsi="Arial"/>
                <w:sz w:val="24"/>
              </w:rPr>
              <w:lastRenderedPageBreak/>
              <w:t xml:space="preserve">non-payment by the Monitored Company of any financial </w:t>
            </w:r>
            <w:proofErr w:type="gramStart"/>
            <w:r w:rsidRPr="007621A3">
              <w:rPr>
                <w:rFonts w:ascii="Arial" w:eastAsia="Arial" w:hAnsi="Arial"/>
                <w:sz w:val="24"/>
              </w:rPr>
              <w:t>indebtedness;</w:t>
            </w:r>
            <w:proofErr w:type="gramEnd"/>
          </w:p>
          <w:p w14:paraId="1229A52C" w14:textId="77777777" w:rsidR="004C6C4A" w:rsidRPr="007621A3" w:rsidRDefault="00F059AA" w:rsidP="007621A3">
            <w:pPr>
              <w:numPr>
                <w:ilvl w:val="2"/>
                <w:numId w:val="1"/>
              </w:numPr>
              <w:tabs>
                <w:tab w:val="left" w:pos="175"/>
              </w:tabs>
              <w:spacing w:after="120"/>
              <w:jc w:val="left"/>
              <w:rPr>
                <w:sz w:val="24"/>
              </w:rPr>
            </w:pPr>
            <w:r w:rsidRPr="007621A3">
              <w:rPr>
                <w:rFonts w:ascii="Arial" w:eastAsia="Arial" w:hAnsi="Arial"/>
                <w:sz w:val="24"/>
              </w:rPr>
              <w:t>any financial indebtedness of the Monitored Company becoming due as a result of an event of default; or</w:t>
            </w:r>
          </w:p>
          <w:p w14:paraId="62B23291" w14:textId="77777777" w:rsidR="004C6C4A" w:rsidRPr="007621A3" w:rsidRDefault="00F059AA" w:rsidP="007621A3">
            <w:pPr>
              <w:numPr>
                <w:ilvl w:val="2"/>
                <w:numId w:val="1"/>
              </w:numPr>
              <w:tabs>
                <w:tab w:val="left" w:pos="175"/>
              </w:tabs>
              <w:spacing w:after="120"/>
              <w:jc w:val="left"/>
              <w:rPr>
                <w:sz w:val="24"/>
              </w:rPr>
            </w:pPr>
            <w:r w:rsidRPr="007621A3">
              <w:rPr>
                <w:rFonts w:ascii="Arial" w:eastAsia="Arial" w:hAnsi="Arial"/>
                <w:sz w:val="24"/>
              </w:rPr>
              <w:t>the cancellation or suspension of any financial indebtedness in respect of the Monitored Company</w:t>
            </w:r>
          </w:p>
          <w:p w14:paraId="694ADD9C" w14:textId="77777777" w:rsidR="004C6C4A" w:rsidRPr="007621A3" w:rsidRDefault="00F059AA" w:rsidP="007621A3">
            <w:pPr>
              <w:numPr>
                <w:ilvl w:val="0"/>
                <w:numId w:val="1"/>
              </w:numPr>
              <w:tabs>
                <w:tab w:val="left" w:pos="175"/>
              </w:tabs>
              <w:spacing w:after="120"/>
              <w:jc w:val="left"/>
              <w:rPr>
                <w:sz w:val="24"/>
              </w:rPr>
            </w:pPr>
            <w:r w:rsidRPr="007621A3">
              <w:rPr>
                <w:rFonts w:ascii="Arial" w:eastAsia="Arial" w:hAnsi="Arial"/>
                <w:sz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4C6C4A" w14:paraId="5A3E1698" w14:textId="77777777" w:rsidTr="007621A3">
        <w:tc>
          <w:tcPr>
            <w:tcW w:w="2462" w:type="dxa"/>
          </w:tcPr>
          <w:p w14:paraId="2CCD3F24" w14:textId="77777777" w:rsidR="004C6C4A" w:rsidRPr="007621A3" w:rsidRDefault="00F059AA" w:rsidP="007621A3">
            <w:pPr>
              <w:spacing w:after="120"/>
              <w:ind w:left="-108"/>
              <w:jc w:val="left"/>
              <w:rPr>
                <w:rFonts w:ascii="Arial" w:eastAsia="Arial" w:hAnsi="Arial"/>
                <w:b/>
                <w:sz w:val="24"/>
              </w:rPr>
            </w:pPr>
            <w:r w:rsidRPr="007621A3">
              <w:rPr>
                <w:rFonts w:ascii="Arial" w:eastAsia="Arial" w:hAnsi="Arial"/>
                <w:b/>
                <w:sz w:val="24"/>
              </w:rPr>
              <w:lastRenderedPageBreak/>
              <w:t>"Financial Distress Service Continuity Plan"</w:t>
            </w:r>
          </w:p>
        </w:tc>
        <w:tc>
          <w:tcPr>
            <w:tcW w:w="5098" w:type="dxa"/>
          </w:tcPr>
          <w:p w14:paraId="58FC1853" w14:textId="77777777" w:rsidR="004C6C4A" w:rsidRPr="007621A3" w:rsidRDefault="00F059AA" w:rsidP="007621A3">
            <w:pPr>
              <w:numPr>
                <w:ilvl w:val="0"/>
                <w:numId w:val="1"/>
              </w:numPr>
              <w:tabs>
                <w:tab w:val="left" w:pos="175"/>
              </w:tabs>
              <w:spacing w:after="120"/>
              <w:jc w:val="left"/>
              <w:rPr>
                <w:sz w:val="24"/>
              </w:rPr>
            </w:pPr>
            <w:r w:rsidRPr="007621A3">
              <w:rPr>
                <w:rFonts w:ascii="Arial" w:eastAsia="Arial" w:hAnsi="Arial"/>
                <w:sz w:val="24"/>
              </w:rPr>
              <w:t>a plan setting out how the Supplier will ensure the continued performance and delivery of the Deliverables in accordance with [each Call-Off] Contract in the event that a Financial Distress Event occurs;</w:t>
            </w:r>
          </w:p>
        </w:tc>
      </w:tr>
      <w:tr w:rsidR="004C6C4A" w14:paraId="2245DD53" w14:textId="77777777" w:rsidTr="007621A3">
        <w:tc>
          <w:tcPr>
            <w:tcW w:w="2462" w:type="dxa"/>
          </w:tcPr>
          <w:p w14:paraId="1AF5BB62" w14:textId="77777777" w:rsidR="004C6C4A" w:rsidRPr="007621A3" w:rsidRDefault="00F059AA" w:rsidP="007621A3">
            <w:pPr>
              <w:spacing w:after="120"/>
              <w:ind w:left="-108"/>
              <w:jc w:val="left"/>
              <w:rPr>
                <w:rFonts w:ascii="Arial" w:eastAsia="Arial" w:hAnsi="Arial"/>
                <w:b/>
                <w:sz w:val="24"/>
              </w:rPr>
            </w:pPr>
            <w:r w:rsidRPr="007621A3">
              <w:rPr>
                <w:rFonts w:ascii="Arial" w:eastAsia="Arial" w:hAnsi="Arial"/>
                <w:b/>
                <w:sz w:val="24"/>
              </w:rPr>
              <w:t>“Monitored Company”</w:t>
            </w:r>
          </w:p>
        </w:tc>
        <w:tc>
          <w:tcPr>
            <w:tcW w:w="5098" w:type="dxa"/>
          </w:tcPr>
          <w:p w14:paraId="6022633C" w14:textId="6C86FA3B" w:rsidR="004C6C4A" w:rsidRPr="007621A3" w:rsidRDefault="00F059AA" w:rsidP="007621A3">
            <w:pPr>
              <w:numPr>
                <w:ilvl w:val="0"/>
                <w:numId w:val="1"/>
              </w:numPr>
              <w:tabs>
                <w:tab w:val="left" w:pos="175"/>
              </w:tabs>
              <w:spacing w:after="120"/>
              <w:jc w:val="left"/>
              <w:rPr>
                <w:sz w:val="24"/>
              </w:rPr>
            </w:pPr>
            <w:r w:rsidRPr="007621A3">
              <w:rPr>
                <w:rFonts w:ascii="Arial" w:eastAsia="Arial" w:hAnsi="Arial"/>
                <w:sz w:val="24"/>
              </w:rPr>
              <w:t xml:space="preserve">Supplier </w:t>
            </w:r>
            <w:r w:rsidRPr="007621A3">
              <w:rPr>
                <w:rFonts w:ascii="Arial" w:eastAsia="Arial" w:hAnsi="Arial"/>
                <w:sz w:val="24"/>
                <w:highlight w:val="yellow"/>
              </w:rPr>
              <w:t>or any Key Subcontractor]</w:t>
            </w:r>
          </w:p>
        </w:tc>
      </w:tr>
      <w:tr w:rsidR="004C6C4A" w14:paraId="05C0049B" w14:textId="77777777" w:rsidTr="007621A3">
        <w:tc>
          <w:tcPr>
            <w:tcW w:w="2462" w:type="dxa"/>
          </w:tcPr>
          <w:p w14:paraId="6D487B89" w14:textId="77777777" w:rsidR="004C6C4A" w:rsidRPr="007621A3" w:rsidRDefault="00F059AA" w:rsidP="007621A3">
            <w:pPr>
              <w:spacing w:after="120"/>
              <w:ind w:left="-108"/>
              <w:jc w:val="left"/>
              <w:rPr>
                <w:rFonts w:ascii="Arial" w:eastAsia="Arial" w:hAnsi="Arial"/>
                <w:b/>
                <w:sz w:val="24"/>
              </w:rPr>
            </w:pPr>
            <w:r w:rsidRPr="007621A3">
              <w:rPr>
                <w:rFonts w:ascii="Arial" w:eastAsia="Arial" w:hAnsi="Arial"/>
                <w:b/>
                <w:sz w:val="24"/>
              </w:rPr>
              <w:t>"Rating Agencies"</w:t>
            </w:r>
          </w:p>
        </w:tc>
        <w:tc>
          <w:tcPr>
            <w:tcW w:w="5098" w:type="dxa"/>
          </w:tcPr>
          <w:p w14:paraId="10B8346D" w14:textId="77777777" w:rsidR="004C6C4A" w:rsidRPr="007621A3" w:rsidRDefault="00F059AA" w:rsidP="007621A3">
            <w:pPr>
              <w:numPr>
                <w:ilvl w:val="0"/>
                <w:numId w:val="1"/>
              </w:numPr>
              <w:tabs>
                <w:tab w:val="left" w:pos="175"/>
              </w:tabs>
              <w:spacing w:after="120"/>
              <w:jc w:val="left"/>
              <w:rPr>
                <w:sz w:val="24"/>
              </w:rPr>
            </w:pPr>
            <w:r w:rsidRPr="007621A3">
              <w:rPr>
                <w:rFonts w:ascii="Arial" w:eastAsia="Arial" w:hAnsi="Arial"/>
                <w:sz w:val="24"/>
              </w:rPr>
              <w:t>the rating agencies listed in Appendix 1.</w:t>
            </w:r>
          </w:p>
        </w:tc>
      </w:tr>
    </w:tbl>
    <w:p w14:paraId="327D5AF8" w14:textId="77777777" w:rsidR="004C6C4A" w:rsidRPr="007621A3" w:rsidRDefault="00F059AA" w:rsidP="007621A3">
      <w:pPr>
        <w:keepNext/>
        <w:numPr>
          <w:ilvl w:val="0"/>
          <w:numId w:val="4"/>
        </w:numPr>
        <w:tabs>
          <w:tab w:val="left" w:pos="142"/>
        </w:tabs>
        <w:spacing w:before="120"/>
        <w:jc w:val="left"/>
        <w:rPr>
          <w:smallCaps/>
        </w:rPr>
      </w:pPr>
      <w:bookmarkStart w:id="8" w:name="_heading=h.3o7alnk" w:colFirst="0" w:colLast="0"/>
      <w:bookmarkEnd w:id="8"/>
      <w:r w:rsidRPr="007621A3">
        <w:rPr>
          <w:rFonts w:ascii="Arial Bold" w:eastAsia="Arial Bold" w:hAnsi="Arial Bold"/>
          <w:b/>
          <w:sz w:val="24"/>
        </w:rPr>
        <w:t>When this Schedule applies</w:t>
      </w:r>
    </w:p>
    <w:p w14:paraId="0E179977" w14:textId="77777777" w:rsidR="004C6C4A" w:rsidRPr="007621A3" w:rsidRDefault="00F059AA" w:rsidP="007621A3">
      <w:pPr>
        <w:numPr>
          <w:ilvl w:val="1"/>
          <w:numId w:val="4"/>
        </w:numPr>
        <w:tabs>
          <w:tab w:val="left" w:pos="1134"/>
        </w:tabs>
        <w:spacing w:before="120" w:after="120"/>
        <w:ind w:hanging="360"/>
        <w:jc w:val="left"/>
      </w:pPr>
      <w:r w:rsidRPr="007621A3">
        <w:rPr>
          <w:rFonts w:ascii="Arial" w:eastAsia="Arial" w:hAnsi="Arial"/>
          <w:sz w:val="24"/>
        </w:rPr>
        <w:t>The Parties shall comply with the provisions of this Annex 5 in relation to the assessment of the financial standing of the Monitored Companies and the consequences of a change to that financial standing.</w:t>
      </w:r>
    </w:p>
    <w:p w14:paraId="3A6714A4" w14:textId="77777777" w:rsidR="004C6C4A" w:rsidRPr="007621A3" w:rsidRDefault="00F059AA" w:rsidP="007621A3">
      <w:pPr>
        <w:numPr>
          <w:ilvl w:val="1"/>
          <w:numId w:val="4"/>
        </w:numPr>
        <w:tabs>
          <w:tab w:val="left" w:pos="1134"/>
        </w:tabs>
        <w:spacing w:before="120" w:after="120"/>
        <w:ind w:hanging="360"/>
        <w:jc w:val="left"/>
      </w:pPr>
      <w:r w:rsidRPr="007621A3">
        <w:rPr>
          <w:rFonts w:ascii="Arial" w:eastAsia="Arial" w:hAnsi="Arial"/>
          <w:sz w:val="24"/>
        </w:rPr>
        <w:t xml:space="preserve">    The terms of this Annex 5 shall survive: </w:t>
      </w:r>
    </w:p>
    <w:p w14:paraId="1F8FAA14" w14:textId="77777777" w:rsidR="004C6C4A" w:rsidRPr="007621A3" w:rsidRDefault="00F059AA" w:rsidP="007621A3">
      <w:pPr>
        <w:numPr>
          <w:ilvl w:val="2"/>
          <w:numId w:val="4"/>
        </w:numPr>
        <w:tabs>
          <w:tab w:val="left" w:pos="1985"/>
        </w:tabs>
        <w:spacing w:before="120" w:after="120"/>
        <w:jc w:val="left"/>
      </w:pPr>
      <w:r w:rsidRPr="007621A3">
        <w:rPr>
          <w:rFonts w:ascii="Arial" w:eastAsia="Arial" w:hAnsi="Arial"/>
          <w:sz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57C7437" w14:textId="77777777" w:rsidR="004C6C4A" w:rsidRPr="007621A3" w:rsidRDefault="00F059AA" w:rsidP="007621A3">
      <w:pPr>
        <w:numPr>
          <w:ilvl w:val="2"/>
          <w:numId w:val="4"/>
        </w:numPr>
        <w:tabs>
          <w:tab w:val="left" w:pos="1985"/>
        </w:tabs>
        <w:spacing w:before="120" w:after="120"/>
        <w:jc w:val="left"/>
      </w:pPr>
      <w:r w:rsidRPr="007621A3">
        <w:rPr>
          <w:rFonts w:ascii="Arial" w:eastAsia="Arial" w:hAnsi="Arial"/>
          <w:sz w:val="24"/>
        </w:rPr>
        <w:t>under the Call-Off Contract until the termination or expiry of the Call-Off Contract.</w:t>
      </w:r>
    </w:p>
    <w:p w14:paraId="72834F99" w14:textId="77777777" w:rsidR="004C6C4A" w:rsidRPr="007621A3" w:rsidRDefault="00F059AA" w:rsidP="007621A3">
      <w:pPr>
        <w:keepNext/>
        <w:numPr>
          <w:ilvl w:val="0"/>
          <w:numId w:val="4"/>
        </w:numPr>
        <w:tabs>
          <w:tab w:val="left" w:pos="142"/>
        </w:tabs>
        <w:spacing w:before="120"/>
        <w:jc w:val="left"/>
        <w:rPr>
          <w:smallCaps/>
        </w:rPr>
      </w:pPr>
      <w:r w:rsidRPr="007621A3">
        <w:rPr>
          <w:rFonts w:ascii="Arial" w:eastAsia="Arial" w:hAnsi="Arial"/>
          <w:b/>
          <w:smallCaps/>
          <w:sz w:val="24"/>
        </w:rPr>
        <w:lastRenderedPageBreak/>
        <w:t>W</w:t>
      </w:r>
      <w:r w:rsidRPr="007621A3">
        <w:rPr>
          <w:rFonts w:ascii="Arial Bold" w:eastAsia="Arial Bold" w:hAnsi="Arial Bold"/>
          <w:b/>
          <w:sz w:val="24"/>
        </w:rPr>
        <w:t xml:space="preserve">hat happens when your credit rating </w:t>
      </w:r>
      <w:proofErr w:type="gramStart"/>
      <w:r w:rsidRPr="007621A3">
        <w:rPr>
          <w:rFonts w:ascii="Arial Bold" w:eastAsia="Arial Bold" w:hAnsi="Arial Bold"/>
          <w:b/>
          <w:sz w:val="24"/>
        </w:rPr>
        <w:t>changes</w:t>
      </w:r>
      <w:proofErr w:type="gramEnd"/>
    </w:p>
    <w:p w14:paraId="329196D2" w14:textId="77777777" w:rsidR="004C6C4A" w:rsidRPr="007621A3" w:rsidRDefault="00F059AA" w:rsidP="007621A3">
      <w:pPr>
        <w:numPr>
          <w:ilvl w:val="1"/>
          <w:numId w:val="4"/>
        </w:numPr>
        <w:tabs>
          <w:tab w:val="left" w:pos="1134"/>
        </w:tabs>
        <w:spacing w:before="120" w:after="120"/>
        <w:ind w:hanging="360"/>
        <w:jc w:val="left"/>
      </w:pPr>
      <w:bookmarkStart w:id="9" w:name="_heading=h.23ckvvd" w:colFirst="0" w:colLast="0"/>
      <w:bookmarkEnd w:id="9"/>
      <w:r w:rsidRPr="007621A3">
        <w:rPr>
          <w:rFonts w:ascii="Arial" w:eastAsia="Arial" w:hAnsi="Arial"/>
          <w:sz w:val="24"/>
        </w:rPr>
        <w:t xml:space="preserve">The Supplier warrants and represents to the Relevant Authority that as at the Start Date the long term credit ratings issued for the Monitored Companies by each of the Rating Agencies are as set out in Appendix 2. </w:t>
      </w:r>
    </w:p>
    <w:p w14:paraId="1653C20B" w14:textId="77777777" w:rsidR="004C6C4A" w:rsidRPr="007621A3" w:rsidRDefault="00F059AA" w:rsidP="007621A3">
      <w:pPr>
        <w:numPr>
          <w:ilvl w:val="1"/>
          <w:numId w:val="4"/>
        </w:numPr>
        <w:tabs>
          <w:tab w:val="left" w:pos="1134"/>
        </w:tabs>
        <w:spacing w:before="120" w:after="120"/>
        <w:ind w:hanging="360"/>
        <w:jc w:val="left"/>
      </w:pPr>
      <w:r w:rsidRPr="007621A3">
        <w:rPr>
          <w:rFonts w:ascii="Arial" w:eastAsia="Arial" w:hAnsi="Arial"/>
          <w:sz w:val="24"/>
        </w:rPr>
        <w:t>The Supplier shall promptly (and in any event within five (5) Working Days) notify the Relevant Authority in writing if there is any downgrade in the credit rating issued by any Rating Agency for a Monitored Company.</w:t>
      </w:r>
    </w:p>
    <w:p w14:paraId="2647EBFA" w14:textId="77777777" w:rsidR="004C6C4A" w:rsidRPr="007621A3" w:rsidRDefault="00F059AA" w:rsidP="007621A3">
      <w:pPr>
        <w:numPr>
          <w:ilvl w:val="1"/>
          <w:numId w:val="4"/>
        </w:numPr>
        <w:tabs>
          <w:tab w:val="left" w:pos="1134"/>
        </w:tabs>
        <w:spacing w:before="120" w:after="120"/>
        <w:ind w:hanging="360"/>
        <w:jc w:val="left"/>
      </w:pPr>
      <w:r w:rsidRPr="007621A3">
        <w:rPr>
          <w:rFonts w:ascii="Arial" w:eastAsia="Arial" w:hAnsi="Arial"/>
          <w:sz w:val="24"/>
        </w:rPr>
        <w:t>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current ratio for the Monitored Company as at the end of each Contract Year or such other date as may be requested by the Relevant Authority.  For these purposes the "current ratio" on any date means:</w:t>
      </w:r>
    </w:p>
    <w:p w14:paraId="30349057" w14:textId="77777777" w:rsidR="004C6C4A" w:rsidRDefault="00F059AA">
      <w:pPr>
        <w:ind w:firstLine="1134"/>
        <w:jc w:val="left"/>
        <w:rPr>
          <w:rFonts w:ascii="Arial" w:eastAsia="Arial" w:hAnsi="Arial"/>
          <w:sz w:val="24"/>
          <w:szCs w:val="24"/>
        </w:rPr>
      </w:pPr>
      <w:r>
        <w:rPr>
          <w:rFonts w:ascii="Arial" w:eastAsia="Arial" w:hAnsi="Arial"/>
          <w:noProof/>
          <w:sz w:val="24"/>
          <w:szCs w:val="24"/>
        </w:rPr>
        <w:drawing>
          <wp:inline distT="0" distB="0" distL="0" distR="0" wp14:anchorId="050D9B03" wp14:editId="76006EE5">
            <wp:extent cx="609600" cy="16319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09AB38DC" wp14:editId="08B11888">
            <wp:extent cx="609600" cy="31559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609600" cy="315595"/>
                    </a:xfrm>
                    <a:prstGeom prst="rect">
                      <a:avLst/>
                    </a:prstGeom>
                    <a:ln/>
                  </pic:spPr>
                </pic:pic>
              </a:graphicData>
            </a:graphic>
          </wp:inline>
        </w:drawing>
      </w:r>
    </w:p>
    <w:p w14:paraId="6B922E1F" w14:textId="77777777" w:rsidR="004C6C4A" w:rsidRPr="007621A3" w:rsidRDefault="00F059AA" w:rsidP="007621A3">
      <w:pPr>
        <w:tabs>
          <w:tab w:val="left" w:pos="3402"/>
        </w:tabs>
        <w:spacing w:after="220"/>
        <w:ind w:left="720"/>
        <w:jc w:val="left"/>
        <w:rPr>
          <w:rFonts w:ascii="Arial" w:eastAsia="Arial" w:hAnsi="Arial"/>
          <w:sz w:val="24"/>
        </w:rPr>
      </w:pPr>
      <w:r w:rsidRPr="007621A3">
        <w:rPr>
          <w:rFonts w:ascii="Arial" w:eastAsia="Arial" w:hAnsi="Arial"/>
          <w:sz w:val="24"/>
        </w:rPr>
        <w:t>where:</w:t>
      </w:r>
    </w:p>
    <w:tbl>
      <w:tblPr>
        <w:tblStyle w:val="2"/>
        <w:tblW w:w="8317" w:type="dxa"/>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4C6C4A" w14:paraId="7D07EE4C" w14:textId="77777777" w:rsidTr="007621A3">
        <w:tc>
          <w:tcPr>
            <w:tcW w:w="1524" w:type="dxa"/>
          </w:tcPr>
          <w:p w14:paraId="62005744" w14:textId="77777777" w:rsidR="004C6C4A" w:rsidRPr="007621A3" w:rsidRDefault="00F059AA" w:rsidP="007621A3">
            <w:pPr>
              <w:tabs>
                <w:tab w:val="left" w:pos="3402"/>
              </w:tabs>
              <w:spacing w:after="220"/>
              <w:ind w:left="1134"/>
              <w:jc w:val="left"/>
              <w:rPr>
                <w:rFonts w:ascii="Arial" w:eastAsia="Arial" w:hAnsi="Arial"/>
                <w:sz w:val="24"/>
              </w:rPr>
            </w:pPr>
            <w:r w:rsidRPr="007621A3">
              <w:rPr>
                <w:rFonts w:ascii="Arial" w:eastAsia="Arial" w:hAnsi="Arial"/>
                <w:sz w:val="24"/>
              </w:rPr>
              <w:t>A</w:t>
            </w:r>
          </w:p>
        </w:tc>
        <w:tc>
          <w:tcPr>
            <w:tcW w:w="6793" w:type="dxa"/>
          </w:tcPr>
          <w:p w14:paraId="4220BD38" w14:textId="77777777" w:rsidR="004C6C4A" w:rsidRPr="007621A3" w:rsidRDefault="00F059AA" w:rsidP="007621A3">
            <w:pPr>
              <w:tabs>
                <w:tab w:val="left" w:pos="3402"/>
              </w:tabs>
              <w:spacing w:after="220"/>
              <w:ind w:left="1134"/>
              <w:jc w:val="left"/>
              <w:rPr>
                <w:rFonts w:ascii="Arial" w:eastAsia="Arial" w:hAnsi="Arial"/>
                <w:b/>
                <w:sz w:val="24"/>
              </w:rPr>
            </w:pPr>
            <w:r w:rsidRPr="007621A3">
              <w:rPr>
                <w:rFonts w:ascii="Arial" w:eastAsia="Arial" w:hAnsi="Arial"/>
                <w:sz w:val="24"/>
              </w:rPr>
              <w:t>is the value at the relevant date of all cash in hand and at the bank of the Monitored Company];</w:t>
            </w:r>
          </w:p>
        </w:tc>
      </w:tr>
      <w:tr w:rsidR="004C6C4A" w14:paraId="6D031AA6" w14:textId="77777777" w:rsidTr="007621A3">
        <w:tc>
          <w:tcPr>
            <w:tcW w:w="1524" w:type="dxa"/>
          </w:tcPr>
          <w:p w14:paraId="344DDB76" w14:textId="77777777" w:rsidR="004C6C4A" w:rsidRPr="007621A3" w:rsidRDefault="00F059AA" w:rsidP="007621A3">
            <w:pPr>
              <w:tabs>
                <w:tab w:val="left" w:pos="3402"/>
              </w:tabs>
              <w:spacing w:after="220"/>
              <w:ind w:left="1134"/>
              <w:jc w:val="left"/>
              <w:rPr>
                <w:rFonts w:ascii="Arial" w:eastAsia="Arial" w:hAnsi="Arial"/>
                <w:sz w:val="24"/>
              </w:rPr>
            </w:pPr>
            <w:r w:rsidRPr="007621A3">
              <w:rPr>
                <w:rFonts w:ascii="Arial" w:eastAsia="Arial" w:hAnsi="Arial"/>
                <w:sz w:val="24"/>
              </w:rPr>
              <w:t>B</w:t>
            </w:r>
          </w:p>
        </w:tc>
        <w:tc>
          <w:tcPr>
            <w:tcW w:w="6793" w:type="dxa"/>
          </w:tcPr>
          <w:p w14:paraId="29E90F77" w14:textId="77777777" w:rsidR="004C6C4A" w:rsidRPr="007621A3" w:rsidRDefault="00F059AA" w:rsidP="007621A3">
            <w:pPr>
              <w:tabs>
                <w:tab w:val="left" w:pos="3402"/>
              </w:tabs>
              <w:spacing w:after="220"/>
              <w:ind w:left="1134"/>
              <w:jc w:val="left"/>
              <w:rPr>
                <w:rFonts w:ascii="Arial" w:eastAsia="Arial" w:hAnsi="Arial"/>
                <w:sz w:val="24"/>
              </w:rPr>
            </w:pPr>
            <w:r w:rsidRPr="007621A3">
              <w:rPr>
                <w:rFonts w:ascii="Arial" w:eastAsia="Arial" w:hAnsi="Arial"/>
                <w:sz w:val="24"/>
              </w:rPr>
              <w:t xml:space="preserve">is the value of all marketable securities held by the Supplier the Monitored Company determined using closing prices on the Working Day preceding the relevant date; </w:t>
            </w:r>
          </w:p>
        </w:tc>
      </w:tr>
      <w:tr w:rsidR="004C6C4A" w14:paraId="1030D1C0" w14:textId="77777777" w:rsidTr="007621A3">
        <w:tc>
          <w:tcPr>
            <w:tcW w:w="1524" w:type="dxa"/>
          </w:tcPr>
          <w:p w14:paraId="2B224B04" w14:textId="77777777" w:rsidR="004C6C4A" w:rsidRPr="007621A3" w:rsidRDefault="00F059AA" w:rsidP="007621A3">
            <w:pPr>
              <w:tabs>
                <w:tab w:val="left" w:pos="3402"/>
              </w:tabs>
              <w:spacing w:after="220"/>
              <w:ind w:left="1134"/>
              <w:jc w:val="left"/>
              <w:rPr>
                <w:rFonts w:ascii="Arial" w:eastAsia="Arial" w:hAnsi="Arial"/>
                <w:sz w:val="24"/>
              </w:rPr>
            </w:pPr>
            <w:r w:rsidRPr="007621A3">
              <w:rPr>
                <w:rFonts w:ascii="Arial" w:eastAsia="Arial" w:hAnsi="Arial"/>
                <w:sz w:val="24"/>
              </w:rPr>
              <w:t>C</w:t>
            </w:r>
          </w:p>
        </w:tc>
        <w:tc>
          <w:tcPr>
            <w:tcW w:w="6793" w:type="dxa"/>
          </w:tcPr>
          <w:p w14:paraId="5DA4A3E8" w14:textId="77777777" w:rsidR="004C6C4A" w:rsidRPr="007621A3" w:rsidRDefault="00F059AA" w:rsidP="007621A3">
            <w:pPr>
              <w:tabs>
                <w:tab w:val="left" w:pos="3402"/>
              </w:tabs>
              <w:spacing w:after="220"/>
              <w:ind w:left="1134"/>
              <w:jc w:val="left"/>
              <w:rPr>
                <w:rFonts w:ascii="Arial" w:eastAsia="Arial" w:hAnsi="Arial"/>
                <w:sz w:val="24"/>
              </w:rPr>
            </w:pPr>
            <w:r w:rsidRPr="007621A3">
              <w:rPr>
                <w:rFonts w:ascii="Arial" w:eastAsia="Arial" w:hAnsi="Arial"/>
                <w:sz w:val="24"/>
              </w:rPr>
              <w:t>is the value at the relevant date of all account receivables of the Monitored]; and</w:t>
            </w:r>
          </w:p>
        </w:tc>
      </w:tr>
      <w:tr w:rsidR="004C6C4A" w14:paraId="55C48415" w14:textId="77777777" w:rsidTr="007621A3">
        <w:tc>
          <w:tcPr>
            <w:tcW w:w="1524" w:type="dxa"/>
          </w:tcPr>
          <w:p w14:paraId="3BEB7DC1" w14:textId="77777777" w:rsidR="004C6C4A" w:rsidRPr="007621A3" w:rsidRDefault="00F059AA" w:rsidP="007621A3">
            <w:pPr>
              <w:tabs>
                <w:tab w:val="left" w:pos="3402"/>
              </w:tabs>
              <w:spacing w:after="220"/>
              <w:ind w:left="1134"/>
              <w:jc w:val="left"/>
              <w:rPr>
                <w:rFonts w:ascii="Arial" w:eastAsia="Arial" w:hAnsi="Arial"/>
                <w:sz w:val="24"/>
              </w:rPr>
            </w:pPr>
            <w:r w:rsidRPr="007621A3">
              <w:rPr>
                <w:rFonts w:ascii="Arial" w:eastAsia="Arial" w:hAnsi="Arial"/>
                <w:sz w:val="24"/>
              </w:rPr>
              <w:t>D</w:t>
            </w:r>
          </w:p>
        </w:tc>
        <w:tc>
          <w:tcPr>
            <w:tcW w:w="6793" w:type="dxa"/>
          </w:tcPr>
          <w:p w14:paraId="54442822" w14:textId="77777777" w:rsidR="004C6C4A" w:rsidRPr="007621A3" w:rsidRDefault="00F059AA" w:rsidP="007621A3">
            <w:pPr>
              <w:tabs>
                <w:tab w:val="left" w:pos="3402"/>
              </w:tabs>
              <w:spacing w:after="220"/>
              <w:ind w:left="1134"/>
              <w:jc w:val="left"/>
              <w:rPr>
                <w:rFonts w:ascii="Arial" w:eastAsia="Arial" w:hAnsi="Arial"/>
                <w:sz w:val="24"/>
              </w:rPr>
            </w:pPr>
            <w:r w:rsidRPr="007621A3">
              <w:rPr>
                <w:rFonts w:ascii="Arial" w:eastAsia="Arial" w:hAnsi="Arial"/>
                <w:sz w:val="24"/>
              </w:rPr>
              <w:t>is the value at the relevant date of the current liabilities of the Monitored Company].</w:t>
            </w:r>
          </w:p>
        </w:tc>
      </w:tr>
    </w:tbl>
    <w:p w14:paraId="6F0BEA66" w14:textId="77777777" w:rsidR="004C6C4A" w:rsidRPr="007621A3" w:rsidRDefault="00F059AA" w:rsidP="007621A3">
      <w:pPr>
        <w:keepNext/>
        <w:numPr>
          <w:ilvl w:val="1"/>
          <w:numId w:val="4"/>
        </w:numPr>
        <w:tabs>
          <w:tab w:val="left" w:pos="1134"/>
        </w:tabs>
        <w:spacing w:before="120" w:after="120"/>
        <w:ind w:hanging="360"/>
        <w:jc w:val="left"/>
      </w:pPr>
      <w:bookmarkStart w:id="10" w:name="_heading=h.ihv636" w:colFirst="0" w:colLast="0"/>
      <w:bookmarkEnd w:id="10"/>
      <w:r w:rsidRPr="007621A3">
        <w:rPr>
          <w:rFonts w:ascii="Arial" w:eastAsia="Arial" w:hAnsi="Arial"/>
          <w:sz w:val="24"/>
        </w:rPr>
        <w:t xml:space="preserve">The Supplier shall: </w:t>
      </w:r>
    </w:p>
    <w:p w14:paraId="372C43EA" w14:textId="77777777" w:rsidR="004C6C4A" w:rsidRPr="007621A3" w:rsidRDefault="00F059AA" w:rsidP="007621A3">
      <w:pPr>
        <w:numPr>
          <w:ilvl w:val="2"/>
          <w:numId w:val="4"/>
        </w:numPr>
        <w:tabs>
          <w:tab w:val="left" w:pos="1985"/>
        </w:tabs>
        <w:spacing w:before="120" w:after="120"/>
        <w:jc w:val="left"/>
      </w:pPr>
      <w:r w:rsidRPr="007621A3">
        <w:rPr>
          <w:rFonts w:ascii="Arial" w:eastAsia="Arial" w:hAnsi="Arial"/>
          <w:sz w:val="24"/>
        </w:rPr>
        <w:t xml:space="preserve">regularly monitor the credit ratings of each Monitored Company with the Rating Agencies; and </w:t>
      </w:r>
    </w:p>
    <w:p w14:paraId="38364166" w14:textId="77777777" w:rsidR="004C6C4A" w:rsidRPr="007621A3" w:rsidRDefault="00F059AA" w:rsidP="007621A3">
      <w:pPr>
        <w:numPr>
          <w:ilvl w:val="2"/>
          <w:numId w:val="4"/>
        </w:numPr>
        <w:tabs>
          <w:tab w:val="left" w:pos="1985"/>
        </w:tabs>
        <w:spacing w:before="120" w:after="120"/>
        <w:jc w:val="left"/>
      </w:pPr>
      <w:bookmarkStart w:id="11" w:name="_heading=h.32hioqz" w:colFirst="0" w:colLast="0"/>
      <w:bookmarkEnd w:id="11"/>
      <w:r w:rsidRPr="007621A3">
        <w:rPr>
          <w:rFonts w:ascii="Arial" w:eastAsia="Arial" w:hAnsi="Arial"/>
          <w:sz w:val="24"/>
        </w:rPr>
        <w:t xml:space="preserve">promptly notify (or shall procure that its auditors promptly notify) the Relevant Authority in writing following the occurrence of a Financial Distress Event or any fact, circumstance or matter which could cause a Financial Distress Event </w:t>
      </w:r>
      <w:proofErr w:type="gramStart"/>
      <w:r w:rsidRPr="007621A3">
        <w:rPr>
          <w:rFonts w:ascii="Arial" w:eastAsia="Arial" w:hAnsi="Arial"/>
          <w:sz w:val="24"/>
        </w:rPr>
        <w:t>and in any event,</w:t>
      </w:r>
      <w:proofErr w:type="gramEnd"/>
      <w:r w:rsidRPr="007621A3">
        <w:rPr>
          <w:rFonts w:ascii="Arial" w:eastAsia="Arial" w:hAnsi="Arial"/>
          <w:sz w:val="24"/>
        </w:rPr>
        <w:t xml:space="preserve"> ensure that such notification is made within 10 Working Days of the date on which the Supplier first becomes aware of the Financial Distress Event </w:t>
      </w:r>
      <w:r w:rsidRPr="007621A3">
        <w:rPr>
          <w:rFonts w:ascii="Arial" w:eastAsia="Arial" w:hAnsi="Arial"/>
          <w:sz w:val="24"/>
        </w:rPr>
        <w:lastRenderedPageBreak/>
        <w:t>or the fact, circumstance or matter which could cause a Financial Distress Event.</w:t>
      </w:r>
    </w:p>
    <w:p w14:paraId="1477B448" w14:textId="77777777" w:rsidR="004C6C4A" w:rsidRPr="007621A3" w:rsidRDefault="00F059AA" w:rsidP="007621A3">
      <w:pPr>
        <w:numPr>
          <w:ilvl w:val="1"/>
          <w:numId w:val="4"/>
        </w:numPr>
        <w:tabs>
          <w:tab w:val="left" w:pos="1134"/>
        </w:tabs>
        <w:spacing w:before="120" w:after="120"/>
        <w:ind w:hanging="360"/>
        <w:jc w:val="left"/>
      </w:pPr>
      <w:r w:rsidRPr="007621A3">
        <w:rPr>
          <w:rFonts w:ascii="Arial" w:eastAsia="Arial" w:hAnsi="Arial"/>
          <w:sz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4F4BF9E8" w14:textId="77777777" w:rsidR="004C6C4A" w:rsidRPr="007621A3" w:rsidRDefault="00F059AA" w:rsidP="007621A3">
      <w:pPr>
        <w:keepNext/>
        <w:numPr>
          <w:ilvl w:val="0"/>
          <w:numId w:val="4"/>
        </w:numPr>
        <w:tabs>
          <w:tab w:val="left" w:pos="142"/>
        </w:tabs>
        <w:spacing w:before="120"/>
        <w:jc w:val="left"/>
        <w:rPr>
          <w:smallCaps/>
        </w:rPr>
      </w:pPr>
      <w:r w:rsidRPr="007621A3">
        <w:rPr>
          <w:rFonts w:ascii="Arial Bold" w:eastAsia="Arial Bold" w:hAnsi="Arial Bold"/>
          <w:b/>
          <w:sz w:val="24"/>
        </w:rPr>
        <w:t xml:space="preserve">What happens if there is a financial distress </w:t>
      </w:r>
      <w:proofErr w:type="gramStart"/>
      <w:r w:rsidRPr="007621A3">
        <w:rPr>
          <w:rFonts w:ascii="Arial Bold" w:eastAsia="Arial Bold" w:hAnsi="Arial Bold"/>
          <w:b/>
          <w:sz w:val="24"/>
        </w:rPr>
        <w:t>event</w:t>
      </w:r>
      <w:proofErr w:type="gramEnd"/>
    </w:p>
    <w:p w14:paraId="30BF2BA0" w14:textId="77777777" w:rsidR="004C6C4A" w:rsidRPr="007621A3" w:rsidRDefault="00F059AA" w:rsidP="007621A3">
      <w:pPr>
        <w:numPr>
          <w:ilvl w:val="1"/>
          <w:numId w:val="4"/>
        </w:numPr>
        <w:tabs>
          <w:tab w:val="left" w:pos="1134"/>
        </w:tabs>
        <w:spacing w:before="120" w:after="120"/>
        <w:ind w:hanging="360"/>
        <w:jc w:val="left"/>
      </w:pPr>
      <w:bookmarkStart w:id="12" w:name="_heading=h.1hmsyys" w:colFirst="0" w:colLast="0"/>
      <w:bookmarkEnd w:id="12"/>
      <w:r w:rsidRPr="007621A3">
        <w:rPr>
          <w:rFonts w:ascii="Arial" w:eastAsia="Arial" w:hAnsi="Arial"/>
          <w:sz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14:paraId="30F953A5" w14:textId="77777777" w:rsidR="004C6C4A" w:rsidRPr="007621A3" w:rsidRDefault="00F059AA" w:rsidP="007621A3">
      <w:pPr>
        <w:tabs>
          <w:tab w:val="left" w:pos="1134"/>
        </w:tabs>
        <w:spacing w:before="120" w:after="120"/>
        <w:ind w:left="936" w:hanging="1004"/>
        <w:jc w:val="left"/>
        <w:rPr>
          <w:rFonts w:ascii="Arial" w:eastAsia="Arial" w:hAnsi="Arial"/>
          <w:sz w:val="24"/>
        </w:rPr>
      </w:pPr>
      <w:bookmarkStart w:id="13" w:name="_heading=h.41mghml" w:colFirst="0" w:colLast="0"/>
      <w:bookmarkEnd w:id="13"/>
      <w:r w:rsidRPr="007621A3">
        <w:rPr>
          <w:rFonts w:ascii="Arial" w:eastAsia="Arial" w:hAnsi="Arial"/>
          <w:b/>
          <w:sz w:val="24"/>
          <w:highlight w:val="yellow"/>
        </w:rPr>
        <w:t>[Guidance</w:t>
      </w:r>
      <w:r w:rsidRPr="007621A3">
        <w:rPr>
          <w:rFonts w:ascii="Arial" w:eastAsia="Arial" w:hAnsi="Arial"/>
          <w:sz w:val="24"/>
        </w:rPr>
        <w:t>: delete this clause if there are no Key Subcontractors or the Key Subcontractors are not</w:t>
      </w:r>
      <w:bookmarkStart w:id="14" w:name="bookmark=kix.cghlyv8lavt1" w:colFirst="0" w:colLast="0"/>
      <w:bookmarkEnd w:id="14"/>
      <w:r w:rsidRPr="007621A3">
        <w:rPr>
          <w:rFonts w:ascii="Arial" w:eastAsia="Arial" w:hAnsi="Arial"/>
          <w:sz w:val="24"/>
        </w:rPr>
        <w:t xml:space="preserve"> Monitored Company]</w:t>
      </w:r>
    </w:p>
    <w:p w14:paraId="680AB575" w14:textId="77777777" w:rsidR="004C6C4A" w:rsidRPr="007621A3" w:rsidRDefault="00F059AA" w:rsidP="007621A3">
      <w:pPr>
        <w:numPr>
          <w:ilvl w:val="1"/>
          <w:numId w:val="4"/>
        </w:numPr>
        <w:tabs>
          <w:tab w:val="left" w:pos="1134"/>
        </w:tabs>
        <w:spacing w:before="120" w:after="120"/>
        <w:ind w:hanging="360"/>
        <w:jc w:val="left"/>
      </w:pPr>
      <w:r w:rsidRPr="007621A3">
        <w:rPr>
          <w:rFonts w:ascii="Arial" w:eastAsia="Arial" w:hAnsi="Arial"/>
          <w:sz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14:paraId="7DE04582" w14:textId="77777777" w:rsidR="004C6C4A" w:rsidRPr="007621A3" w:rsidRDefault="00F059AA" w:rsidP="007621A3">
      <w:pPr>
        <w:numPr>
          <w:ilvl w:val="2"/>
          <w:numId w:val="4"/>
        </w:numPr>
        <w:tabs>
          <w:tab w:val="left" w:pos="1985"/>
        </w:tabs>
        <w:spacing w:before="120" w:after="120"/>
        <w:jc w:val="left"/>
      </w:pPr>
      <w:r w:rsidRPr="007621A3">
        <w:rPr>
          <w:rFonts w:ascii="Arial" w:eastAsia="Arial" w:hAnsi="Arial"/>
          <w:sz w:val="24"/>
        </w:rPr>
        <w:t xml:space="preserve">rectify such late or non-payment; or </w:t>
      </w:r>
    </w:p>
    <w:p w14:paraId="1FD77DAC" w14:textId="77777777" w:rsidR="004C6C4A" w:rsidRPr="007621A3" w:rsidRDefault="00F059AA" w:rsidP="007621A3">
      <w:pPr>
        <w:numPr>
          <w:ilvl w:val="2"/>
          <w:numId w:val="4"/>
        </w:numPr>
        <w:tabs>
          <w:tab w:val="left" w:pos="1985"/>
        </w:tabs>
        <w:spacing w:before="120" w:after="120"/>
        <w:jc w:val="left"/>
      </w:pPr>
      <w:r w:rsidRPr="007621A3">
        <w:rPr>
          <w:rFonts w:ascii="Arial" w:eastAsia="Arial" w:hAnsi="Arial"/>
          <w:sz w:val="24"/>
        </w:rPr>
        <w:t>demonstrate to the Relevant Authority's reasonable satisfaction that there is a valid reason for late or non-payment.]</w:t>
      </w:r>
    </w:p>
    <w:p w14:paraId="28FCE343" w14:textId="77777777" w:rsidR="004C6C4A" w:rsidRPr="007621A3" w:rsidRDefault="00F059AA" w:rsidP="007621A3">
      <w:pPr>
        <w:keepNext/>
        <w:numPr>
          <w:ilvl w:val="1"/>
          <w:numId w:val="4"/>
        </w:numPr>
        <w:tabs>
          <w:tab w:val="left" w:pos="1134"/>
        </w:tabs>
        <w:spacing w:before="120" w:after="120"/>
        <w:ind w:hanging="360"/>
        <w:jc w:val="left"/>
      </w:pPr>
      <w:bookmarkStart w:id="15" w:name="_heading=h.vx1227" w:colFirst="0" w:colLast="0"/>
      <w:bookmarkEnd w:id="15"/>
      <w:r w:rsidRPr="007621A3">
        <w:rPr>
          <w:rFonts w:ascii="Arial" w:eastAsia="Arial" w:hAnsi="Arial"/>
          <w:sz w:val="24"/>
        </w:rPr>
        <w:t>The Supplier shall and shall procure that the other Monitored Companies shall:</w:t>
      </w:r>
    </w:p>
    <w:p w14:paraId="08A74887" w14:textId="77777777" w:rsidR="004C6C4A" w:rsidRPr="007621A3" w:rsidRDefault="00F059AA" w:rsidP="007621A3">
      <w:pPr>
        <w:numPr>
          <w:ilvl w:val="2"/>
          <w:numId w:val="4"/>
        </w:numPr>
        <w:tabs>
          <w:tab w:val="left" w:pos="1985"/>
        </w:tabs>
        <w:spacing w:before="120" w:after="120"/>
        <w:jc w:val="left"/>
      </w:pPr>
      <w:bookmarkStart w:id="16" w:name="_heading=h.3fwokq0" w:colFirst="0" w:colLast="0"/>
      <w:bookmarkEnd w:id="16"/>
      <w:r w:rsidRPr="007621A3">
        <w:rPr>
          <w:rFonts w:ascii="Arial" w:eastAsia="Arial" w:hAnsi="Arial"/>
          <w:sz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14960597" w14:textId="77777777" w:rsidR="004C6C4A" w:rsidRPr="007621A3" w:rsidRDefault="00F059AA" w:rsidP="007621A3">
      <w:pPr>
        <w:numPr>
          <w:ilvl w:val="2"/>
          <w:numId w:val="4"/>
        </w:numPr>
        <w:tabs>
          <w:tab w:val="left" w:pos="1985"/>
        </w:tabs>
        <w:spacing w:before="120" w:after="120"/>
        <w:jc w:val="left"/>
      </w:pPr>
      <w:bookmarkStart w:id="17" w:name="_heading=h.1v1yuxt" w:colFirst="0" w:colLast="0"/>
      <w:bookmarkEnd w:id="17"/>
      <w:r w:rsidRPr="007621A3">
        <w:rPr>
          <w:rFonts w:ascii="Arial" w:eastAsia="Arial" w:hAnsi="Arial"/>
          <w:sz w:val="24"/>
        </w:rPr>
        <w:t>where the Relevant Authority reasonably believes (</w:t>
      </w:r>
      <w:proofErr w:type="gramStart"/>
      <w:r w:rsidRPr="007621A3">
        <w:rPr>
          <w:rFonts w:ascii="Arial" w:eastAsia="Arial" w:hAnsi="Arial"/>
          <w:sz w:val="24"/>
        </w:rPr>
        <w:t>taking into account</w:t>
      </w:r>
      <w:proofErr w:type="gramEnd"/>
      <w:r w:rsidRPr="007621A3">
        <w:rPr>
          <w:rFonts w:ascii="Arial" w:eastAsia="Arial" w:hAnsi="Arial"/>
          <w:sz w:val="24"/>
        </w:rPr>
        <w:t xml:space="preserve"> the discussions and any representations made under Paragraph 4.3.1) that the Financial Distress Event could impact on the continued performance of each Contract and delivery of the Deliverables in accordance with each Call-Off Contract: </w:t>
      </w:r>
    </w:p>
    <w:p w14:paraId="5A611B37" w14:textId="77777777" w:rsidR="004C6C4A" w:rsidRPr="007621A3" w:rsidRDefault="00F059AA" w:rsidP="007621A3">
      <w:pPr>
        <w:numPr>
          <w:ilvl w:val="3"/>
          <w:numId w:val="4"/>
        </w:numPr>
        <w:tabs>
          <w:tab w:val="left" w:pos="1985"/>
        </w:tabs>
        <w:spacing w:before="120" w:after="120"/>
        <w:jc w:val="left"/>
      </w:pPr>
      <w:r w:rsidRPr="007621A3">
        <w:rPr>
          <w:rFonts w:ascii="Arial" w:eastAsia="Arial" w:hAnsi="Arial"/>
          <w:sz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14:paraId="5A5DF102" w14:textId="77777777" w:rsidR="004C6C4A" w:rsidRPr="007621A3" w:rsidRDefault="00F059AA" w:rsidP="007621A3">
      <w:pPr>
        <w:numPr>
          <w:ilvl w:val="3"/>
          <w:numId w:val="4"/>
        </w:numPr>
        <w:tabs>
          <w:tab w:val="left" w:pos="1985"/>
        </w:tabs>
        <w:spacing w:before="120" w:after="120"/>
        <w:jc w:val="left"/>
      </w:pPr>
      <w:bookmarkStart w:id="18" w:name="_heading=h.4f1mdlm" w:colFirst="0" w:colLast="0"/>
      <w:bookmarkEnd w:id="18"/>
      <w:r w:rsidRPr="007621A3">
        <w:rPr>
          <w:rFonts w:ascii="Arial" w:eastAsia="Arial" w:hAnsi="Arial"/>
          <w:sz w:val="24"/>
        </w:rPr>
        <w:lastRenderedPageBreak/>
        <w:t>provide such financial information relating to the Monitored Company as the Relevant Authority may reasonably require.</w:t>
      </w:r>
    </w:p>
    <w:p w14:paraId="60F3C65F" w14:textId="77777777" w:rsidR="004C6C4A" w:rsidRPr="007621A3" w:rsidRDefault="00F059AA" w:rsidP="007621A3">
      <w:pPr>
        <w:numPr>
          <w:ilvl w:val="1"/>
          <w:numId w:val="4"/>
        </w:numPr>
        <w:tabs>
          <w:tab w:val="left" w:pos="1134"/>
        </w:tabs>
        <w:spacing w:before="120" w:after="120"/>
        <w:ind w:hanging="360"/>
        <w:jc w:val="left"/>
      </w:pPr>
      <w:bookmarkStart w:id="19" w:name="_heading=h.2u6wntf" w:colFirst="0" w:colLast="0"/>
      <w:bookmarkEnd w:id="19"/>
      <w:r w:rsidRPr="007621A3">
        <w:rPr>
          <w:rFonts w:ascii="Arial" w:eastAsia="Arial" w:hAnsi="Arial"/>
          <w:sz w:val="24"/>
        </w:rPr>
        <w:t>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14:paraId="030E12E4" w14:textId="77777777" w:rsidR="004C6C4A" w:rsidRPr="007621A3" w:rsidRDefault="00F059AA" w:rsidP="007621A3">
      <w:pPr>
        <w:numPr>
          <w:ilvl w:val="1"/>
          <w:numId w:val="4"/>
        </w:numPr>
        <w:tabs>
          <w:tab w:val="left" w:pos="1134"/>
        </w:tabs>
        <w:spacing w:before="120" w:after="120"/>
        <w:ind w:hanging="360"/>
        <w:jc w:val="left"/>
      </w:pPr>
      <w:bookmarkStart w:id="20" w:name="_heading=h.19c6y18" w:colFirst="0" w:colLast="0"/>
      <w:bookmarkEnd w:id="20"/>
      <w:r w:rsidRPr="007621A3">
        <w:rPr>
          <w:rFonts w:ascii="Arial" w:eastAsia="Arial" w:hAnsi="Arial"/>
          <w:sz w:val="24"/>
        </w:rPr>
        <w:t xml:space="preserve">If the Relevant Authority considers that the draft Financial Distress Service Continuity Plan is insufficiently detailed to be properly evaluated, will take too long to </w:t>
      </w:r>
      <w:proofErr w:type="gramStart"/>
      <w:r w:rsidRPr="007621A3">
        <w:rPr>
          <w:rFonts w:ascii="Arial" w:eastAsia="Arial" w:hAnsi="Arial"/>
          <w:sz w:val="24"/>
        </w:rPr>
        <w:t>complete</w:t>
      </w:r>
      <w:proofErr w:type="gramEnd"/>
      <w:r w:rsidRPr="007621A3">
        <w:rPr>
          <w:rFonts w:ascii="Arial" w:eastAsia="Arial" w:hAnsi="Arial"/>
          <w:sz w:val="24"/>
        </w:rPr>
        <w:t xml:space="preserv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4DF76947" w14:textId="77777777" w:rsidR="004C6C4A" w:rsidRPr="007621A3" w:rsidRDefault="00F059AA" w:rsidP="007621A3">
      <w:pPr>
        <w:keepNext/>
        <w:numPr>
          <w:ilvl w:val="1"/>
          <w:numId w:val="4"/>
        </w:numPr>
        <w:tabs>
          <w:tab w:val="left" w:pos="1134"/>
        </w:tabs>
        <w:spacing w:before="120" w:after="120"/>
        <w:ind w:hanging="360"/>
        <w:jc w:val="left"/>
      </w:pPr>
      <w:bookmarkStart w:id="21" w:name="_heading=h.3tbugp1" w:colFirst="0" w:colLast="0"/>
      <w:bookmarkEnd w:id="21"/>
      <w:r w:rsidRPr="007621A3">
        <w:rPr>
          <w:rFonts w:ascii="Arial" w:eastAsia="Arial" w:hAnsi="Arial"/>
          <w:sz w:val="24"/>
        </w:rPr>
        <w:t>Following Approval of the Financial Distress Service Continuity Plan by the Relevant Authority, the Supplier shall:</w:t>
      </w:r>
    </w:p>
    <w:p w14:paraId="278EA855" w14:textId="77777777" w:rsidR="004C6C4A" w:rsidRPr="007621A3" w:rsidRDefault="00F059AA" w:rsidP="007621A3">
      <w:pPr>
        <w:numPr>
          <w:ilvl w:val="2"/>
          <w:numId w:val="4"/>
        </w:numPr>
        <w:tabs>
          <w:tab w:val="left" w:pos="1985"/>
        </w:tabs>
        <w:spacing w:before="120" w:after="120"/>
        <w:jc w:val="left"/>
      </w:pPr>
      <w:bookmarkStart w:id="22" w:name="_heading=h.28h4qwu" w:colFirst="0" w:colLast="0"/>
      <w:bookmarkEnd w:id="22"/>
      <w:r w:rsidRPr="007621A3">
        <w:rPr>
          <w:rFonts w:ascii="Arial" w:eastAsia="Arial" w:hAnsi="Arial"/>
          <w:sz w:val="24"/>
        </w:rPr>
        <w:t xml:space="preserve">on a regular basis (which shall not be less than </w:t>
      </w:r>
      <w:proofErr w:type="gramStart"/>
      <w:r w:rsidRPr="007621A3">
        <w:rPr>
          <w:rFonts w:ascii="Arial" w:eastAsia="Arial" w:hAnsi="Arial"/>
          <w:sz w:val="24"/>
        </w:rPr>
        <w:t>Monthly</w:t>
      </w:r>
      <w:proofErr w:type="gramEnd"/>
      <w:r w:rsidRPr="007621A3">
        <w:rPr>
          <w:rFonts w:ascii="Arial" w:eastAsia="Arial" w:hAnsi="Arial"/>
          <w:sz w:val="24"/>
        </w:rPr>
        <w:t>), review the Financial Distress Service Continuity Plan and assess whether it remains adequate and up to date to ensure the continued performance each Contract and delivery of the Deliverables in accordance with each Call-Off Contract;</w:t>
      </w:r>
    </w:p>
    <w:p w14:paraId="26DC7FB3" w14:textId="77777777" w:rsidR="004C6C4A" w:rsidRPr="007621A3" w:rsidRDefault="00F059AA" w:rsidP="007621A3">
      <w:pPr>
        <w:numPr>
          <w:ilvl w:val="2"/>
          <w:numId w:val="4"/>
        </w:numPr>
        <w:tabs>
          <w:tab w:val="left" w:pos="1985"/>
        </w:tabs>
        <w:spacing w:before="120" w:after="120"/>
        <w:jc w:val="left"/>
      </w:pPr>
      <w:bookmarkStart w:id="23" w:name="_heading=h.nmf14n" w:colFirst="0" w:colLast="0"/>
      <w:bookmarkEnd w:id="23"/>
      <w:r w:rsidRPr="007621A3">
        <w:rPr>
          <w:rFonts w:ascii="Arial" w:eastAsia="Arial" w:hAnsi="Arial"/>
          <w:sz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741BC00E" w14:textId="77777777" w:rsidR="004C6C4A" w:rsidRPr="007621A3" w:rsidRDefault="00F059AA" w:rsidP="007621A3">
      <w:pPr>
        <w:numPr>
          <w:ilvl w:val="2"/>
          <w:numId w:val="4"/>
        </w:numPr>
        <w:tabs>
          <w:tab w:val="left" w:pos="1985"/>
        </w:tabs>
        <w:spacing w:before="120" w:after="120"/>
        <w:jc w:val="left"/>
      </w:pPr>
      <w:bookmarkStart w:id="24" w:name="_heading=h.37m2jsg" w:colFirst="0" w:colLast="0"/>
      <w:bookmarkEnd w:id="24"/>
      <w:r w:rsidRPr="007621A3">
        <w:rPr>
          <w:rFonts w:ascii="Arial" w:eastAsia="Arial" w:hAnsi="Arial"/>
          <w:sz w:val="24"/>
        </w:rPr>
        <w:t>comply with the Financial Distress Service Continuity Plan (including any updated Financial Distress Service Continuity Plan).</w:t>
      </w:r>
    </w:p>
    <w:p w14:paraId="67A3C49B" w14:textId="77777777" w:rsidR="004C6C4A" w:rsidRPr="007621A3" w:rsidRDefault="00F059AA" w:rsidP="007621A3">
      <w:pPr>
        <w:numPr>
          <w:ilvl w:val="1"/>
          <w:numId w:val="4"/>
        </w:numPr>
        <w:tabs>
          <w:tab w:val="left" w:pos="1134"/>
        </w:tabs>
        <w:spacing w:before="120" w:after="120"/>
        <w:ind w:hanging="360"/>
        <w:jc w:val="left"/>
      </w:pPr>
      <w:bookmarkStart w:id="25" w:name="_heading=h.1mrcu09" w:colFirst="0" w:colLast="0"/>
      <w:bookmarkEnd w:id="25"/>
      <w:r w:rsidRPr="007621A3">
        <w:rPr>
          <w:rFonts w:ascii="Arial" w:eastAsia="Arial" w:hAnsi="Arial"/>
          <w:sz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14:paraId="10BA6154" w14:textId="77777777" w:rsidR="004C6C4A" w:rsidRPr="007621A3" w:rsidRDefault="00F059AA" w:rsidP="007621A3">
      <w:pPr>
        <w:numPr>
          <w:ilvl w:val="1"/>
          <w:numId w:val="4"/>
        </w:numPr>
        <w:tabs>
          <w:tab w:val="left" w:pos="1134"/>
        </w:tabs>
        <w:spacing w:before="120" w:after="120"/>
        <w:ind w:hanging="360"/>
        <w:jc w:val="left"/>
      </w:pPr>
      <w:r w:rsidRPr="007621A3">
        <w:rPr>
          <w:rFonts w:ascii="Arial" w:eastAsia="Arial" w:hAnsi="Arial"/>
          <w:sz w:val="24"/>
        </w:rPr>
        <w:t>CCS shall be able to share any information it receives from the Buyer in accordance with this Paragraph with any Buyer who has entered into a Call-Off Contract with the Supplier.</w:t>
      </w:r>
    </w:p>
    <w:p w14:paraId="59348006" w14:textId="77777777" w:rsidR="004C6C4A" w:rsidRPr="007621A3" w:rsidRDefault="00F059AA" w:rsidP="007621A3">
      <w:pPr>
        <w:keepNext/>
        <w:numPr>
          <w:ilvl w:val="0"/>
          <w:numId w:val="4"/>
        </w:numPr>
        <w:tabs>
          <w:tab w:val="left" w:pos="142"/>
        </w:tabs>
        <w:spacing w:before="120"/>
        <w:jc w:val="left"/>
        <w:rPr>
          <w:smallCaps/>
        </w:rPr>
      </w:pPr>
      <w:r w:rsidRPr="007621A3">
        <w:rPr>
          <w:rFonts w:ascii="Arial Bold" w:eastAsia="Arial Bold" w:hAnsi="Arial Bold"/>
          <w:b/>
          <w:sz w:val="24"/>
        </w:rPr>
        <w:lastRenderedPageBreak/>
        <w:t xml:space="preserve">When CCS or the Buyer can terminate for financial distress </w:t>
      </w:r>
    </w:p>
    <w:p w14:paraId="4E203BF9" w14:textId="77777777" w:rsidR="004C6C4A" w:rsidRPr="007621A3" w:rsidRDefault="00F059AA" w:rsidP="007621A3">
      <w:pPr>
        <w:keepNext/>
        <w:numPr>
          <w:ilvl w:val="1"/>
          <w:numId w:val="4"/>
        </w:numPr>
        <w:tabs>
          <w:tab w:val="left" w:pos="1134"/>
        </w:tabs>
        <w:spacing w:before="120" w:after="120"/>
        <w:ind w:hanging="360"/>
        <w:jc w:val="left"/>
      </w:pPr>
      <w:bookmarkStart w:id="26" w:name="_heading=h.46r0co2" w:colFirst="0" w:colLast="0"/>
      <w:bookmarkEnd w:id="26"/>
      <w:r w:rsidRPr="007621A3">
        <w:rPr>
          <w:rFonts w:ascii="Arial" w:eastAsia="Arial" w:hAnsi="Arial"/>
          <w:sz w:val="24"/>
        </w:rPr>
        <w:t xml:space="preserve">CCS shall be entitled to terminate this Contract and Buyers shall be entitled to terminate their Call-Off Contracts for material Default if: </w:t>
      </w:r>
    </w:p>
    <w:p w14:paraId="45A99879" w14:textId="77777777" w:rsidR="004C6C4A" w:rsidRPr="007621A3" w:rsidRDefault="00F059AA" w:rsidP="007621A3">
      <w:pPr>
        <w:numPr>
          <w:ilvl w:val="2"/>
          <w:numId w:val="4"/>
        </w:numPr>
        <w:tabs>
          <w:tab w:val="left" w:pos="1985"/>
        </w:tabs>
        <w:spacing w:before="120" w:after="120"/>
        <w:jc w:val="left"/>
      </w:pPr>
      <w:r w:rsidRPr="007621A3">
        <w:rPr>
          <w:rFonts w:ascii="Arial" w:eastAsia="Arial" w:hAnsi="Arial"/>
          <w:sz w:val="24"/>
        </w:rPr>
        <w:t>the Supplier fails to notify the Relevant Authority of a Financial Distress Event in accordance with Paragraph </w:t>
      </w:r>
      <w:proofErr w:type="gramStart"/>
      <w:r w:rsidRPr="007621A3">
        <w:rPr>
          <w:rFonts w:ascii="Arial" w:eastAsia="Arial" w:hAnsi="Arial"/>
          <w:sz w:val="24"/>
        </w:rPr>
        <w:t>3.4;</w:t>
      </w:r>
      <w:proofErr w:type="gramEnd"/>
      <w:r w:rsidRPr="007621A3">
        <w:rPr>
          <w:rFonts w:ascii="Arial" w:eastAsia="Arial" w:hAnsi="Arial"/>
          <w:sz w:val="24"/>
        </w:rPr>
        <w:t xml:space="preserve"> </w:t>
      </w:r>
    </w:p>
    <w:p w14:paraId="164B2BB5" w14:textId="77777777" w:rsidR="004C6C4A" w:rsidRPr="007621A3" w:rsidRDefault="00F059AA" w:rsidP="007621A3">
      <w:pPr>
        <w:numPr>
          <w:ilvl w:val="2"/>
          <w:numId w:val="4"/>
        </w:numPr>
        <w:tabs>
          <w:tab w:val="left" w:pos="1985"/>
        </w:tabs>
        <w:spacing w:before="120" w:after="120"/>
        <w:jc w:val="left"/>
      </w:pPr>
      <w:r w:rsidRPr="007621A3">
        <w:rPr>
          <w:rFonts w:ascii="Arial" w:eastAsia="Arial" w:hAnsi="Arial"/>
          <w:sz w:val="24"/>
        </w:rPr>
        <w:t>The Relevant Authority and the Supplier fail to agree a Financial Distress Service Continuity Plan (or any updated Financial Distress Service Continuity Plan) in accordance with Paragraphs 4.3 to 4.5; and/or</w:t>
      </w:r>
    </w:p>
    <w:p w14:paraId="5CD878BF" w14:textId="77777777" w:rsidR="004C6C4A" w:rsidRPr="007621A3" w:rsidRDefault="00F059AA" w:rsidP="007621A3">
      <w:pPr>
        <w:numPr>
          <w:ilvl w:val="2"/>
          <w:numId w:val="4"/>
        </w:numPr>
        <w:tabs>
          <w:tab w:val="left" w:pos="1985"/>
        </w:tabs>
        <w:spacing w:before="120" w:after="120"/>
        <w:jc w:val="left"/>
      </w:pPr>
      <w:r w:rsidRPr="007621A3">
        <w:rPr>
          <w:rFonts w:ascii="Arial" w:eastAsia="Arial" w:hAnsi="Arial"/>
          <w:sz w:val="24"/>
        </w:rPr>
        <w:t>the Supplier fails to comply with the terms of the Financial Distress Service Continuity Plan (or any updated Financial Distress Service Continuity Plan) in accordance with Paragraph 4.6.3.</w:t>
      </w:r>
    </w:p>
    <w:p w14:paraId="779D27DA" w14:textId="77777777" w:rsidR="004C6C4A" w:rsidRPr="007621A3" w:rsidRDefault="00F059AA" w:rsidP="007621A3">
      <w:pPr>
        <w:keepNext/>
        <w:numPr>
          <w:ilvl w:val="1"/>
          <w:numId w:val="4"/>
        </w:numPr>
        <w:tabs>
          <w:tab w:val="left" w:pos="1134"/>
        </w:tabs>
        <w:spacing w:before="120" w:after="120"/>
        <w:ind w:hanging="360"/>
        <w:jc w:val="left"/>
      </w:pPr>
      <w:r w:rsidRPr="007621A3">
        <w:rPr>
          <w:rFonts w:ascii="Arial" w:eastAsia="Arial" w:hAnsi="Arial"/>
          <w:sz w:val="24"/>
        </w:rPr>
        <w:t>If the Contract is terminated in accordance with Paragraph 5.1, Clauses 10.6.1 and 10.6.2 of the Core Terms shall apply as if the Contract had been terminated under Clause 10.4.1.</w:t>
      </w:r>
    </w:p>
    <w:p w14:paraId="630EC8AF" w14:textId="77777777" w:rsidR="004C6C4A" w:rsidRPr="007621A3" w:rsidRDefault="00F059AA" w:rsidP="007621A3">
      <w:pPr>
        <w:keepNext/>
        <w:numPr>
          <w:ilvl w:val="0"/>
          <w:numId w:val="4"/>
        </w:numPr>
        <w:tabs>
          <w:tab w:val="left" w:pos="142"/>
        </w:tabs>
        <w:spacing w:before="120"/>
        <w:jc w:val="left"/>
        <w:rPr>
          <w:smallCaps/>
        </w:rPr>
      </w:pPr>
      <w:bookmarkStart w:id="27" w:name="_heading=h.2lwamvv" w:colFirst="0" w:colLast="0"/>
      <w:bookmarkEnd w:id="27"/>
      <w:r w:rsidRPr="007621A3">
        <w:rPr>
          <w:rFonts w:ascii="Arial Bold" w:eastAsia="Arial Bold" w:hAnsi="Arial Bold"/>
          <w:b/>
          <w:sz w:val="24"/>
        </w:rPr>
        <w:t xml:space="preserve">What happens If your credit rating is still </w:t>
      </w:r>
      <w:proofErr w:type="gramStart"/>
      <w:r w:rsidRPr="007621A3">
        <w:rPr>
          <w:rFonts w:ascii="Arial Bold" w:eastAsia="Arial Bold" w:hAnsi="Arial Bold"/>
          <w:b/>
          <w:sz w:val="24"/>
        </w:rPr>
        <w:t>good</w:t>
      </w:r>
      <w:proofErr w:type="gramEnd"/>
    </w:p>
    <w:p w14:paraId="4935D065" w14:textId="77777777" w:rsidR="004C6C4A" w:rsidRPr="007621A3" w:rsidRDefault="00F059AA" w:rsidP="007621A3">
      <w:pPr>
        <w:numPr>
          <w:ilvl w:val="1"/>
          <w:numId w:val="4"/>
        </w:numPr>
        <w:tabs>
          <w:tab w:val="left" w:pos="1134"/>
        </w:tabs>
        <w:spacing w:before="120" w:after="120"/>
        <w:ind w:hanging="360"/>
        <w:jc w:val="left"/>
      </w:pPr>
      <w:r w:rsidRPr="007621A3">
        <w:rPr>
          <w:rFonts w:ascii="Arial" w:eastAsia="Arial" w:hAnsi="Arial"/>
          <w:sz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30887EF8" w14:textId="77777777" w:rsidR="004C6C4A" w:rsidRPr="007621A3" w:rsidRDefault="00F059AA" w:rsidP="007621A3">
      <w:pPr>
        <w:numPr>
          <w:ilvl w:val="2"/>
          <w:numId w:val="4"/>
        </w:numPr>
        <w:tabs>
          <w:tab w:val="left" w:pos="1985"/>
        </w:tabs>
        <w:spacing w:before="120" w:after="120"/>
        <w:jc w:val="left"/>
      </w:pPr>
      <w:r w:rsidRPr="007621A3">
        <w:rPr>
          <w:rFonts w:ascii="Arial" w:eastAsia="Arial" w:hAnsi="Arial"/>
          <w:sz w:val="24"/>
        </w:rPr>
        <w:t>the Supplier shall be relieved automatically of its obligations under Paragraphs 4.3 to 4.6; and</w:t>
      </w:r>
    </w:p>
    <w:p w14:paraId="7F7BC67C" w14:textId="77777777" w:rsidR="004C6C4A" w:rsidRPr="007621A3" w:rsidRDefault="00F059AA" w:rsidP="007621A3">
      <w:pPr>
        <w:numPr>
          <w:ilvl w:val="2"/>
          <w:numId w:val="4"/>
        </w:numPr>
        <w:tabs>
          <w:tab w:val="left" w:pos="1985"/>
        </w:tabs>
        <w:spacing w:before="120" w:after="120"/>
        <w:jc w:val="left"/>
      </w:pPr>
      <w:r w:rsidRPr="007621A3">
        <w:rPr>
          <w:rFonts w:ascii="Arial" w:eastAsia="Arial" w:hAnsi="Arial"/>
          <w:sz w:val="24"/>
        </w:rPr>
        <w:t xml:space="preserve">The Relevant Authority shall not be entitled to require the Supplier to provide financial information in accordance with Paragraph 4.3.2(b). </w:t>
      </w:r>
    </w:p>
    <w:p w14:paraId="4A7A6D72" w14:textId="77777777" w:rsidR="004C6C4A" w:rsidRDefault="004C6C4A"/>
    <w:p w14:paraId="55C5858E" w14:textId="77777777" w:rsidR="004C6C4A" w:rsidRDefault="004C6C4A" w:rsidP="007621A3">
      <w:pPr>
        <w:spacing w:after="0"/>
        <w:jc w:val="left"/>
        <w:rPr>
          <w:rFonts w:ascii="Arial" w:eastAsia="Arial" w:hAnsi="Arial"/>
          <w:color w:val="FFFFFF"/>
          <w:sz w:val="24"/>
          <w:szCs w:val="24"/>
        </w:rPr>
      </w:pPr>
      <w:bookmarkStart w:id="28" w:name="_heading=h.4i7ojhp" w:colFirst="0" w:colLast="0"/>
      <w:bookmarkEnd w:id="28"/>
    </w:p>
    <w:p w14:paraId="15A17BF2" w14:textId="77777777" w:rsidR="004C6C4A" w:rsidRPr="007621A3" w:rsidRDefault="00F059AA" w:rsidP="007621A3">
      <w:pPr>
        <w:keepNext/>
        <w:ind w:firstLine="426"/>
        <w:jc w:val="left"/>
        <w:rPr>
          <w:rFonts w:ascii="Arial" w:eastAsia="Arial" w:hAnsi="Arial"/>
          <w:b/>
          <w:smallCaps/>
          <w:sz w:val="24"/>
        </w:rPr>
      </w:pPr>
      <w:bookmarkStart w:id="29" w:name="_heading=h.111kx3o" w:colFirst="0" w:colLast="0"/>
      <w:bookmarkEnd w:id="29"/>
      <w:r>
        <w:br w:type="page"/>
      </w:r>
    </w:p>
    <w:p w14:paraId="6F1CA0D8" w14:textId="77777777" w:rsidR="004C6C4A" w:rsidRPr="007621A3" w:rsidRDefault="00F059AA" w:rsidP="007621A3">
      <w:pPr>
        <w:keepNext/>
        <w:ind w:firstLine="426"/>
        <w:jc w:val="left"/>
        <w:rPr>
          <w:rFonts w:ascii="Arial" w:eastAsia="Arial" w:hAnsi="Arial"/>
          <w:b/>
          <w:smallCaps/>
          <w:sz w:val="36"/>
        </w:rPr>
      </w:pPr>
      <w:bookmarkStart w:id="30" w:name="_heading=h.3l18frh" w:colFirst="0" w:colLast="0"/>
      <w:bookmarkEnd w:id="30"/>
      <w:r w:rsidRPr="007621A3">
        <w:rPr>
          <w:rFonts w:ascii="Arial" w:eastAsia="Arial" w:hAnsi="Arial"/>
          <w:b/>
          <w:smallCaps/>
          <w:sz w:val="36"/>
        </w:rPr>
        <w:lastRenderedPageBreak/>
        <w:t>Appendix 1: RATING AGENCIES</w:t>
      </w:r>
    </w:p>
    <w:p w14:paraId="38536592" w14:textId="77777777" w:rsidR="004C6C4A" w:rsidRPr="007621A3" w:rsidRDefault="00F059AA" w:rsidP="007621A3">
      <w:pPr>
        <w:keepNext/>
        <w:spacing w:before="240" w:after="120"/>
        <w:ind w:left="142"/>
        <w:jc w:val="left"/>
        <w:rPr>
          <w:rFonts w:ascii="Arial" w:eastAsia="Arial" w:hAnsi="Arial"/>
          <w:sz w:val="24"/>
        </w:rPr>
      </w:pPr>
      <w:r w:rsidRPr="007621A3">
        <w:rPr>
          <w:rFonts w:ascii="Arial" w:eastAsia="Arial" w:hAnsi="Arial"/>
          <w:sz w:val="24"/>
        </w:rPr>
        <w:t>[Rating Agency 1]</w:t>
      </w:r>
    </w:p>
    <w:p w14:paraId="726C697A" w14:textId="77777777" w:rsidR="004C6C4A" w:rsidRPr="007621A3" w:rsidRDefault="00F059AA" w:rsidP="007621A3">
      <w:pPr>
        <w:keepNext/>
        <w:spacing w:before="240" w:after="120"/>
        <w:ind w:left="142"/>
        <w:jc w:val="left"/>
        <w:rPr>
          <w:rFonts w:ascii="Arial" w:eastAsia="Arial" w:hAnsi="Arial"/>
          <w:sz w:val="24"/>
        </w:rPr>
      </w:pPr>
      <w:r w:rsidRPr="007621A3">
        <w:rPr>
          <w:rFonts w:ascii="Arial" w:eastAsia="Arial" w:hAnsi="Arial"/>
          <w:sz w:val="24"/>
        </w:rPr>
        <w:t>[Rating Agency 2]</w:t>
      </w:r>
    </w:p>
    <w:p w14:paraId="44176C8C" w14:textId="77777777" w:rsidR="004C6C4A" w:rsidRPr="007621A3" w:rsidRDefault="00F059AA" w:rsidP="007621A3">
      <w:pPr>
        <w:keepNext/>
        <w:ind w:firstLine="426"/>
        <w:jc w:val="left"/>
        <w:rPr>
          <w:rFonts w:ascii="Arial" w:eastAsia="Arial" w:hAnsi="Arial"/>
          <w:b/>
          <w:smallCaps/>
          <w:sz w:val="24"/>
        </w:rPr>
      </w:pPr>
      <w:bookmarkStart w:id="31" w:name="_heading=h.206ipza" w:colFirst="0" w:colLast="0"/>
      <w:bookmarkEnd w:id="31"/>
      <w:r>
        <w:br w:type="page"/>
      </w:r>
      <w:r w:rsidRPr="007621A3">
        <w:rPr>
          <w:rFonts w:ascii="Arial" w:eastAsia="Arial" w:hAnsi="Arial"/>
          <w:b/>
          <w:smallCaps/>
          <w:sz w:val="36"/>
        </w:rPr>
        <w:lastRenderedPageBreak/>
        <w:t>Appendix 2: CREDIT RATINGS &amp; CREDIT RATING THRESHOLDS</w:t>
      </w:r>
    </w:p>
    <w:p w14:paraId="51AC212F" w14:textId="77777777" w:rsidR="004C6C4A" w:rsidRPr="007621A3" w:rsidRDefault="00F059AA" w:rsidP="007621A3">
      <w:pPr>
        <w:keepNext/>
        <w:ind w:firstLine="426"/>
        <w:jc w:val="left"/>
        <w:rPr>
          <w:rFonts w:ascii="Arial" w:eastAsia="Arial" w:hAnsi="Arial"/>
          <w:b/>
          <w:smallCaps/>
          <w:sz w:val="24"/>
        </w:rPr>
      </w:pPr>
      <w:r w:rsidRPr="007621A3">
        <w:rPr>
          <w:rFonts w:ascii="Arial" w:eastAsia="Arial" w:hAnsi="Arial"/>
          <w:b/>
          <w:sz w:val="24"/>
        </w:rPr>
        <w:t>Part 1: Current Rating</w:t>
      </w:r>
    </w:p>
    <w:tbl>
      <w:tblPr>
        <w:tblStyle w:val="1"/>
        <w:tblW w:w="6255" w:type="dxa"/>
        <w:tblInd w:w="-1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121"/>
        <w:gridCol w:w="4134"/>
      </w:tblGrid>
      <w:tr w:rsidR="000806EB" w14:paraId="58B353B4" w14:textId="77777777" w:rsidTr="0040002E">
        <w:tc>
          <w:tcPr>
            <w:tcW w:w="2121" w:type="dxa"/>
            <w:tcBorders>
              <w:top w:val="single" w:sz="4" w:space="0" w:color="000000"/>
            </w:tcBorders>
            <w:shd w:val="clear" w:color="auto" w:fill="FFFFFF"/>
          </w:tcPr>
          <w:p w14:paraId="5381D83F" w14:textId="77777777" w:rsidR="004C6C4A" w:rsidRPr="007621A3" w:rsidRDefault="00F059AA" w:rsidP="007621A3">
            <w:pPr>
              <w:keepNext/>
              <w:spacing w:before="240" w:after="120"/>
              <w:ind w:left="142"/>
              <w:jc w:val="left"/>
              <w:rPr>
                <w:rFonts w:ascii="Arial" w:eastAsia="Arial" w:hAnsi="Arial"/>
                <w:b/>
                <w:sz w:val="24"/>
              </w:rPr>
            </w:pPr>
            <w:r w:rsidRPr="007621A3">
              <w:rPr>
                <w:rFonts w:ascii="Arial" w:eastAsia="Arial" w:hAnsi="Arial"/>
                <w:b/>
                <w:sz w:val="24"/>
              </w:rPr>
              <w:t>Entity</w:t>
            </w:r>
          </w:p>
        </w:tc>
        <w:tc>
          <w:tcPr>
            <w:tcW w:w="4134" w:type="dxa"/>
            <w:tcBorders>
              <w:top w:val="single" w:sz="4" w:space="0" w:color="000000"/>
            </w:tcBorders>
            <w:shd w:val="clear" w:color="auto" w:fill="FFFFFF"/>
          </w:tcPr>
          <w:p w14:paraId="3751D05D" w14:textId="77777777" w:rsidR="004C6C4A" w:rsidRPr="007621A3" w:rsidRDefault="00F059AA" w:rsidP="007621A3">
            <w:pPr>
              <w:keepNext/>
              <w:spacing w:before="240" w:after="120"/>
              <w:ind w:left="142"/>
              <w:jc w:val="left"/>
              <w:rPr>
                <w:rFonts w:ascii="Arial" w:eastAsia="Arial" w:hAnsi="Arial"/>
                <w:b/>
                <w:sz w:val="24"/>
              </w:rPr>
            </w:pPr>
            <w:r w:rsidRPr="007621A3">
              <w:rPr>
                <w:rFonts w:ascii="Arial" w:eastAsia="Arial" w:hAnsi="Arial"/>
                <w:b/>
                <w:sz w:val="24"/>
              </w:rPr>
              <w:t>Credit rating (long term)</w:t>
            </w:r>
          </w:p>
        </w:tc>
      </w:tr>
      <w:tr w:rsidR="000806EB" w14:paraId="0A063BDC" w14:textId="77777777" w:rsidTr="0040002E">
        <w:tc>
          <w:tcPr>
            <w:tcW w:w="2121" w:type="dxa"/>
            <w:tcBorders>
              <w:top w:val="single" w:sz="4" w:space="0" w:color="000000"/>
            </w:tcBorders>
            <w:shd w:val="clear" w:color="auto" w:fill="FFFFFF"/>
          </w:tcPr>
          <w:p w14:paraId="729F0B03" w14:textId="77777777" w:rsidR="004C6C4A" w:rsidRPr="007621A3" w:rsidRDefault="00F059AA" w:rsidP="007621A3">
            <w:pPr>
              <w:keepNext/>
              <w:spacing w:before="240" w:after="120"/>
              <w:ind w:left="142"/>
              <w:jc w:val="left"/>
              <w:rPr>
                <w:rFonts w:ascii="Arial" w:eastAsia="Arial" w:hAnsi="Arial"/>
                <w:b/>
                <w:sz w:val="24"/>
              </w:rPr>
            </w:pPr>
            <w:r w:rsidRPr="007621A3">
              <w:rPr>
                <w:rFonts w:ascii="Arial" w:eastAsia="Arial" w:hAnsi="Arial"/>
                <w:sz w:val="24"/>
              </w:rPr>
              <w:t>Supplier</w:t>
            </w:r>
          </w:p>
        </w:tc>
        <w:tc>
          <w:tcPr>
            <w:tcW w:w="4134" w:type="dxa"/>
            <w:shd w:val="clear" w:color="auto" w:fill="FFFFFF"/>
          </w:tcPr>
          <w:p w14:paraId="5A765E23" w14:textId="37A7DC5D" w:rsidR="004C6C4A" w:rsidRPr="007621A3" w:rsidRDefault="00F059AA" w:rsidP="007621A3">
            <w:pPr>
              <w:keepNext/>
              <w:spacing w:before="240" w:after="120"/>
              <w:ind w:left="140"/>
              <w:jc w:val="left"/>
              <w:rPr>
                <w:rFonts w:ascii="Arial" w:eastAsia="Arial" w:hAnsi="Arial"/>
                <w:sz w:val="24"/>
              </w:rPr>
            </w:pPr>
            <w:r w:rsidRPr="007621A3">
              <w:rPr>
                <w:rFonts w:ascii="Arial" w:eastAsia="Arial" w:hAnsi="Arial"/>
                <w:sz w:val="24"/>
              </w:rPr>
              <w:t>D&amp;B Threshold</w:t>
            </w:r>
            <w:r>
              <w:rPr>
                <w:rFonts w:ascii="Arial" w:eastAsia="Arial" w:hAnsi="Arial"/>
                <w:sz w:val="24"/>
                <w:szCs w:val="24"/>
              </w:rPr>
              <w:t xml:space="preserve"> - Minimum 55</w:t>
            </w:r>
          </w:p>
        </w:tc>
      </w:tr>
      <w:tr w:rsidR="000806EB" w14:paraId="121D7E8E" w14:textId="77777777" w:rsidTr="0040002E">
        <w:tc>
          <w:tcPr>
            <w:tcW w:w="2121" w:type="dxa"/>
            <w:tcBorders>
              <w:bottom w:val="single" w:sz="4" w:space="0" w:color="000000"/>
            </w:tcBorders>
            <w:shd w:val="clear" w:color="auto" w:fill="FFFFFF"/>
          </w:tcPr>
          <w:p w14:paraId="4CBA3958" w14:textId="0B9390CF" w:rsidR="004C6C4A" w:rsidRPr="007621A3" w:rsidRDefault="00F059AA" w:rsidP="007621A3">
            <w:pPr>
              <w:keepNext/>
              <w:spacing w:before="240" w:after="120"/>
              <w:ind w:left="142"/>
              <w:jc w:val="left"/>
              <w:rPr>
                <w:rFonts w:ascii="Arial" w:eastAsia="Arial" w:hAnsi="Arial"/>
                <w:sz w:val="24"/>
                <w:highlight w:val="yellow"/>
              </w:rPr>
            </w:pPr>
            <w:r w:rsidRPr="0094261D">
              <w:rPr>
                <w:rFonts w:ascii="Arial" w:eastAsia="Arial" w:hAnsi="Arial"/>
                <w:sz w:val="24"/>
              </w:rPr>
              <w:t>Key Subcontractor</w:t>
            </w:r>
          </w:p>
        </w:tc>
        <w:tc>
          <w:tcPr>
            <w:tcW w:w="4134" w:type="dxa"/>
            <w:shd w:val="clear" w:color="auto" w:fill="FFFFFF"/>
          </w:tcPr>
          <w:p w14:paraId="1F36BDD6" w14:textId="7D3EBAA8" w:rsidR="004C6C4A" w:rsidRPr="007621A3" w:rsidRDefault="00F059AA" w:rsidP="007621A3">
            <w:pPr>
              <w:keepNext/>
              <w:spacing w:before="240" w:after="120"/>
              <w:ind w:left="140"/>
              <w:jc w:val="left"/>
              <w:rPr>
                <w:rFonts w:ascii="Arial" w:eastAsia="Arial" w:hAnsi="Arial"/>
                <w:sz w:val="24"/>
              </w:rPr>
            </w:pPr>
            <w:r>
              <w:rPr>
                <w:rFonts w:ascii="Arial" w:eastAsia="Arial" w:hAnsi="Arial"/>
                <w:sz w:val="24"/>
                <w:szCs w:val="24"/>
              </w:rPr>
              <w:t>D&amp;B Threshold - Minimum 55</w:t>
            </w:r>
          </w:p>
        </w:tc>
      </w:tr>
    </w:tbl>
    <w:p w14:paraId="108CCFD3" w14:textId="77777777" w:rsidR="004C6C4A" w:rsidRDefault="004C6C4A">
      <w:pPr>
        <w:spacing w:after="200" w:line="276" w:lineRule="auto"/>
        <w:jc w:val="left"/>
        <w:rPr>
          <w:rFonts w:ascii="Arial" w:eastAsia="Arial" w:hAnsi="Arial"/>
          <w:sz w:val="24"/>
          <w:szCs w:val="24"/>
        </w:rPr>
      </w:pPr>
    </w:p>
    <w:sectPr w:rsidR="004C6C4A">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6CDA1" w14:textId="77777777" w:rsidR="00695175" w:rsidRDefault="00695175">
      <w:pPr>
        <w:spacing w:after="0"/>
      </w:pPr>
      <w:r>
        <w:separator/>
      </w:r>
    </w:p>
  </w:endnote>
  <w:endnote w:type="continuationSeparator" w:id="0">
    <w:p w14:paraId="6B3E04B8" w14:textId="77777777" w:rsidR="00695175" w:rsidRDefault="00695175">
      <w:pPr>
        <w:spacing w:after="0"/>
      </w:pPr>
      <w:r>
        <w:continuationSeparator/>
      </w:r>
    </w:p>
  </w:endnote>
  <w:endnote w:type="continuationNotice" w:id="1">
    <w:p w14:paraId="7322C898" w14:textId="77777777" w:rsidR="00695175" w:rsidRDefault="00695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6783D" w14:textId="77777777" w:rsidR="004C6C4A" w:rsidRDefault="004C6C4A">
    <w:pPr>
      <w:pBdr>
        <w:top w:val="nil"/>
        <w:left w:val="nil"/>
        <w:bottom w:val="nil"/>
        <w:right w:val="nil"/>
        <w:between w:val="nil"/>
      </w:pBdr>
      <w:tabs>
        <w:tab w:val="center" w:pos="4513"/>
        <w:tab w:val="right" w:pos="9026"/>
      </w:tabs>
      <w:spacing w:after="0"/>
      <w:rPr>
        <w:color w:val="000000"/>
      </w:rPr>
    </w:pPr>
  </w:p>
  <w:p w14:paraId="3F4FB2FF" w14:textId="04DC8ADF" w:rsidR="004C6C4A" w:rsidRDefault="00F059AA">
    <w:pPr>
      <w:pBdr>
        <w:top w:val="nil"/>
        <w:left w:val="nil"/>
        <w:bottom w:val="nil"/>
        <w:right w:val="nil"/>
        <w:between w:val="nil"/>
      </w:pBdr>
      <w:tabs>
        <w:tab w:val="center" w:pos="4513"/>
        <w:tab w:val="right" w:pos="9026"/>
      </w:tabs>
      <w:spacing w:after="0"/>
      <w:rPr>
        <w:color w:val="000000"/>
      </w:rPr>
    </w:pPr>
    <w:r>
      <w:rPr>
        <w:color w:val="000000"/>
      </w:rPr>
      <w:t>76698887.1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264D" w14:textId="1BA20CF6" w:rsidR="004C6C4A" w:rsidRDefault="000806EB">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66432" behindDoc="0" locked="0" layoutInCell="0" allowOverlap="1" wp14:anchorId="639CB707" wp14:editId="6C828103">
              <wp:simplePos x="0" y="0"/>
              <wp:positionH relativeFrom="page">
                <wp:posOffset>0</wp:posOffset>
              </wp:positionH>
              <wp:positionV relativeFrom="page">
                <wp:posOffset>10227945</wp:posOffset>
              </wp:positionV>
              <wp:extent cx="7560310" cy="273050"/>
              <wp:effectExtent l="0" t="0" r="0" b="12700"/>
              <wp:wrapNone/>
              <wp:docPr id="5" name="MSIPCMea30485c8c6b1a8e939407e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87309A" w14:textId="234426DB" w:rsidR="000806EB" w:rsidRPr="000806EB" w:rsidRDefault="000806EB" w:rsidP="000806EB">
                          <w:pPr>
                            <w:spacing w:after="0"/>
                            <w:jc w:val="center"/>
                            <w:rPr>
                              <w:rFonts w:cs="Calibri"/>
                              <w:color w:val="000000"/>
                              <w:sz w:val="20"/>
                            </w:rPr>
                          </w:pPr>
                          <w:r w:rsidRPr="000806EB">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39CB707" id="_x0000_t202" coordsize="21600,21600" o:spt="202" path="m,l,21600r21600,l21600,xe">
              <v:stroke joinstyle="miter"/>
              <v:path gradientshapeok="t" o:connecttype="rect"/>
            </v:shapetype>
            <v:shape id="MSIPCMea30485c8c6b1a8e939407e3"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643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3687309A" w14:textId="234426DB" w:rsidR="000806EB" w:rsidRPr="000806EB" w:rsidRDefault="000806EB" w:rsidP="000806EB">
                    <w:pPr>
                      <w:spacing w:after="0"/>
                      <w:jc w:val="center"/>
                      <w:rPr>
                        <w:rFonts w:cs="Calibri"/>
                        <w:color w:val="000000"/>
                        <w:sz w:val="20"/>
                      </w:rPr>
                    </w:pPr>
                    <w:r w:rsidRPr="000806EB">
                      <w:rPr>
                        <w:rFonts w:cs="Calibri"/>
                        <w:color w:val="000000"/>
                        <w:sz w:val="20"/>
                      </w:rPr>
                      <w:t>OFFICIAL</w:t>
                    </w:r>
                  </w:p>
                </w:txbxContent>
              </v:textbox>
              <w10:wrap anchorx="page" anchory="page"/>
            </v:shape>
          </w:pict>
        </mc:Fallback>
      </mc:AlternateContent>
    </w:r>
    <w:r w:rsidR="00F059AA">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142DD067" wp14:editId="002A0471">
              <wp:simplePos x="0" y="0"/>
              <wp:positionH relativeFrom="page">
                <wp:posOffset>0</wp:posOffset>
              </wp:positionH>
              <wp:positionV relativeFrom="page">
                <wp:posOffset>10227945</wp:posOffset>
              </wp:positionV>
              <wp:extent cx="7560310"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7B06A6" w14:textId="0A7E4BDF" w:rsidR="00F059AA" w:rsidRPr="00F059AA" w:rsidRDefault="00F059AA" w:rsidP="00F059AA">
                          <w:pPr>
                            <w:spacing w:after="0"/>
                            <w:jc w:val="center"/>
                            <w:rPr>
                              <w:rFonts w:cs="Calibri"/>
                              <w:color w:val="000000"/>
                              <w:sz w:val="20"/>
                            </w:rPr>
                          </w:pPr>
                          <w:r w:rsidRPr="00F059AA">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142DD067" id="Text Box 1"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117B06A6" w14:textId="0A7E4BDF" w:rsidR="00F059AA" w:rsidRPr="00F059AA" w:rsidRDefault="00F059AA" w:rsidP="00F059AA">
                    <w:pPr>
                      <w:spacing w:after="0"/>
                      <w:jc w:val="center"/>
                      <w:rPr>
                        <w:rFonts w:cs="Calibri"/>
                        <w:color w:val="000000"/>
                        <w:sz w:val="20"/>
                      </w:rPr>
                    </w:pPr>
                    <w:r w:rsidRPr="00F059AA">
                      <w:rPr>
                        <w:rFonts w:cs="Calibri"/>
                        <w:color w:val="000000"/>
                        <w:sz w:val="20"/>
                      </w:rPr>
                      <w:t>OFFICIAL</w:t>
                    </w:r>
                  </w:p>
                </w:txbxContent>
              </v:textbox>
              <w10:wrap anchorx="page" anchory="page"/>
            </v:shape>
          </w:pict>
        </mc:Fallback>
      </mc:AlternateContent>
    </w:r>
    <w:r w:rsidR="00F059AA">
      <w:rPr>
        <w:rFonts w:ascii="Arial" w:eastAsia="Arial" w:hAnsi="Arial"/>
        <w:sz w:val="20"/>
        <w:szCs w:val="20"/>
      </w:rPr>
      <w:t>Framework Ref: RM6335</w:t>
    </w:r>
    <w:r w:rsidR="00F059AA">
      <w:rPr>
        <w:rFonts w:ascii="Arial" w:eastAsia="Arial" w:hAnsi="Arial"/>
        <w:sz w:val="20"/>
        <w:szCs w:val="20"/>
      </w:rPr>
      <w:tab/>
      <w:t xml:space="preserve">                                           </w:t>
    </w:r>
  </w:p>
  <w:p w14:paraId="3AD53C01" w14:textId="77777777" w:rsidR="004C6C4A" w:rsidRDefault="00F059A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216BB8B9" w14:textId="370D53B1" w:rsidR="004C6C4A" w:rsidRDefault="00F059AA">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p w14:paraId="3C9A5A30" w14:textId="5CB00841" w:rsidR="004C6C4A" w:rsidRDefault="00F059AA">
    <w:pPr>
      <w:spacing w:after="0"/>
      <w:rPr>
        <w:rFonts w:ascii="Arial" w:eastAsia="Arial" w:hAnsi="Arial"/>
        <w:sz w:val="20"/>
        <w:szCs w:val="20"/>
      </w:rPr>
    </w:pPr>
    <w:r>
      <w:rPr>
        <w:rFonts w:ascii="Arial" w:eastAsia="Arial" w:hAnsi="Arial"/>
        <w:sz w:val="20"/>
        <w:szCs w:val="20"/>
      </w:rPr>
      <w:t>76698887.1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A3D78" w14:textId="467781CB" w:rsidR="004C6C4A" w:rsidRDefault="00F059AA">
    <w:pPr>
      <w:tabs>
        <w:tab w:val="center" w:pos="4513"/>
        <w:tab w:val="right" w:pos="9026"/>
      </w:tabs>
      <w:spacing w:after="0"/>
      <w:rPr>
        <w:color w:val="BFBFBF"/>
      </w:rPr>
    </w:pPr>
    <w:r>
      <w:rPr>
        <w:color w:val="BFBFBF"/>
      </w:rPr>
      <w:t>Framework Ref: RM</w:t>
    </w:r>
    <w:r>
      <w:rPr>
        <w:color w:val="BFBFBF"/>
      </w:rPr>
      <w:tab/>
      <w:t xml:space="preserve">                                           </w:t>
    </w:r>
  </w:p>
  <w:p w14:paraId="0B35112B" w14:textId="77777777" w:rsidR="004C6C4A" w:rsidRDefault="00F059AA">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000000">
      <w:rPr>
        <w:color w:val="BFBFBF"/>
      </w:rPr>
      <w:fldChar w:fldCharType="separate"/>
    </w:r>
    <w:r>
      <w:rPr>
        <w:color w:val="BFBFBF"/>
      </w:rPr>
      <w:fldChar w:fldCharType="end"/>
    </w:r>
  </w:p>
  <w:p w14:paraId="0DE059BE" w14:textId="6E1000B3" w:rsidR="004C6C4A" w:rsidRDefault="00F059AA">
    <w:pPr>
      <w:spacing w:after="0"/>
      <w:rPr>
        <w:color w:val="BFBFBF"/>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p w14:paraId="72DF8D8F" w14:textId="20D6CF81" w:rsidR="004C6C4A" w:rsidRDefault="00F059AA">
    <w:pPr>
      <w:spacing w:after="0"/>
      <w:rPr>
        <w:rFonts w:ascii="Arial" w:eastAsia="Arial" w:hAnsi="Arial"/>
        <w:color w:val="BFBFBF"/>
        <w:sz w:val="20"/>
        <w:szCs w:val="20"/>
      </w:rPr>
    </w:pPr>
    <w:r>
      <w:rPr>
        <w:rFonts w:ascii="Arial" w:eastAsia="Arial" w:hAnsi="Arial"/>
        <w:color w:val="BFBFBF"/>
        <w:sz w:val="20"/>
        <w:szCs w:val="20"/>
      </w:rPr>
      <w:t>76698887.1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728A9" w14:textId="77777777" w:rsidR="00695175" w:rsidRDefault="00695175">
      <w:pPr>
        <w:spacing w:after="0"/>
      </w:pPr>
      <w:r>
        <w:separator/>
      </w:r>
    </w:p>
  </w:footnote>
  <w:footnote w:type="continuationSeparator" w:id="0">
    <w:p w14:paraId="14F89079" w14:textId="77777777" w:rsidR="00695175" w:rsidRDefault="00695175">
      <w:pPr>
        <w:spacing w:after="0"/>
      </w:pPr>
      <w:r>
        <w:continuationSeparator/>
      </w:r>
    </w:p>
  </w:footnote>
  <w:footnote w:type="continuationNotice" w:id="1">
    <w:p w14:paraId="7256A5C5" w14:textId="77777777" w:rsidR="00695175" w:rsidRDefault="006951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88B49" w14:textId="77777777" w:rsidR="004C6C4A" w:rsidRDefault="004C6C4A">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1370B" w14:textId="77777777" w:rsidR="004C6C4A" w:rsidRDefault="00F059A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54997B49" w14:textId="77777777" w:rsidR="004C6C4A" w:rsidRDefault="00F059A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B63E6" w14:textId="77777777" w:rsidR="004C6C4A" w:rsidRDefault="004C6C4A">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218"/>
    <w:multiLevelType w:val="multilevel"/>
    <w:tmpl w:val="91AAA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0D04C9A"/>
    <w:multiLevelType w:val="multilevel"/>
    <w:tmpl w:val="06484BDE"/>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23C5469"/>
    <w:multiLevelType w:val="multilevel"/>
    <w:tmpl w:val="2B5A91B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C9D0DF5"/>
    <w:multiLevelType w:val="multilevel"/>
    <w:tmpl w:val="4A26EE3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FAA4FA7"/>
    <w:multiLevelType w:val="multilevel"/>
    <w:tmpl w:val="2076911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8A432A2"/>
    <w:multiLevelType w:val="multilevel"/>
    <w:tmpl w:val="8082818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50F928D0"/>
    <w:multiLevelType w:val="multilevel"/>
    <w:tmpl w:val="CC8EE2E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E854D84"/>
    <w:multiLevelType w:val="multilevel"/>
    <w:tmpl w:val="075E21B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5E83F3D"/>
    <w:multiLevelType w:val="multilevel"/>
    <w:tmpl w:val="7FBEFA84"/>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FD34FBA"/>
    <w:multiLevelType w:val="multilevel"/>
    <w:tmpl w:val="AE08EB8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1224757002">
    <w:abstractNumId w:val="6"/>
  </w:num>
  <w:num w:numId="2" w16cid:durableId="1004016006">
    <w:abstractNumId w:val="3"/>
  </w:num>
  <w:num w:numId="3" w16cid:durableId="1520435292">
    <w:abstractNumId w:val="5"/>
  </w:num>
  <w:num w:numId="4" w16cid:durableId="45835226">
    <w:abstractNumId w:val="8"/>
  </w:num>
  <w:num w:numId="5" w16cid:durableId="141629611">
    <w:abstractNumId w:val="1"/>
  </w:num>
  <w:num w:numId="6" w16cid:durableId="10494255">
    <w:abstractNumId w:val="4"/>
  </w:num>
  <w:num w:numId="7" w16cid:durableId="873543422">
    <w:abstractNumId w:val="9"/>
  </w:num>
  <w:num w:numId="8" w16cid:durableId="1662585164">
    <w:abstractNumId w:val="2"/>
  </w:num>
  <w:num w:numId="9" w16cid:durableId="1396514027">
    <w:abstractNumId w:val="7"/>
  </w:num>
  <w:num w:numId="10" w16cid:durableId="541215534">
    <w:abstractNumId w:val="0"/>
  </w:num>
  <w:num w:numId="11" w16cid:durableId="1006009830">
    <w:abstractNumId w:val="3"/>
  </w:num>
  <w:num w:numId="12" w16cid:durableId="348410161">
    <w:abstractNumId w:val="3"/>
  </w:num>
  <w:num w:numId="13" w16cid:durableId="1020743769">
    <w:abstractNumId w:val="3"/>
  </w:num>
  <w:num w:numId="14" w16cid:durableId="12722029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C4A"/>
    <w:rsid w:val="00076444"/>
    <w:rsid w:val="000806EB"/>
    <w:rsid w:val="00095CC7"/>
    <w:rsid w:val="001021F5"/>
    <w:rsid w:val="00115A81"/>
    <w:rsid w:val="00132099"/>
    <w:rsid w:val="001D4E2B"/>
    <w:rsid w:val="001E7145"/>
    <w:rsid w:val="00224A2C"/>
    <w:rsid w:val="00252E7B"/>
    <w:rsid w:val="00341AD6"/>
    <w:rsid w:val="00356242"/>
    <w:rsid w:val="003D0F39"/>
    <w:rsid w:val="0040002E"/>
    <w:rsid w:val="0041619C"/>
    <w:rsid w:val="00462727"/>
    <w:rsid w:val="004B6433"/>
    <w:rsid w:val="004C6C4A"/>
    <w:rsid w:val="00586719"/>
    <w:rsid w:val="005F70BE"/>
    <w:rsid w:val="00610A0E"/>
    <w:rsid w:val="00610C07"/>
    <w:rsid w:val="00626058"/>
    <w:rsid w:val="00630CCE"/>
    <w:rsid w:val="006543E1"/>
    <w:rsid w:val="00675A3C"/>
    <w:rsid w:val="00680A09"/>
    <w:rsid w:val="00695175"/>
    <w:rsid w:val="006A34EF"/>
    <w:rsid w:val="006A64A7"/>
    <w:rsid w:val="006F621C"/>
    <w:rsid w:val="00701873"/>
    <w:rsid w:val="00711068"/>
    <w:rsid w:val="007336A6"/>
    <w:rsid w:val="007621A3"/>
    <w:rsid w:val="00812310"/>
    <w:rsid w:val="008819E8"/>
    <w:rsid w:val="0089024E"/>
    <w:rsid w:val="0094261D"/>
    <w:rsid w:val="00972B8B"/>
    <w:rsid w:val="009B693A"/>
    <w:rsid w:val="00A05612"/>
    <w:rsid w:val="00A11BE9"/>
    <w:rsid w:val="00A521D0"/>
    <w:rsid w:val="00A87804"/>
    <w:rsid w:val="00AA16D8"/>
    <w:rsid w:val="00AE6D01"/>
    <w:rsid w:val="00B20E6F"/>
    <w:rsid w:val="00B426EB"/>
    <w:rsid w:val="00BD1A9E"/>
    <w:rsid w:val="00C0521E"/>
    <w:rsid w:val="00C27A3F"/>
    <w:rsid w:val="00DD3F95"/>
    <w:rsid w:val="00E0020F"/>
    <w:rsid w:val="00E93C8E"/>
    <w:rsid w:val="00EA6F5E"/>
    <w:rsid w:val="00F059AA"/>
    <w:rsid w:val="00F77DD5"/>
    <w:rsid w:val="260B6B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5647F"/>
  <w15:docId w15:val="{475CEDBE-21FF-453B-AFBE-C9599E508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0806EB"/>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0806EB"/>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0806EB"/>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Definition">
    <w:name w:val="GPs Definition"/>
    <w:basedOn w:val="Normal"/>
    <w:qFormat/>
    <w:rsid w:val="000806EB"/>
    <w:pPr>
      <w:numPr>
        <w:numId w:val="1"/>
      </w:numPr>
      <w:tabs>
        <w:tab w:val="left" w:pos="175"/>
      </w:tabs>
      <w:spacing w:after="120"/>
      <w:ind w:left="360" w:hanging="36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eastAsia="Times New Roman"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0806EB"/>
    <w:rPr>
      <w:sz w:val="20"/>
      <w:szCs w:val="20"/>
    </w:rPr>
  </w:style>
  <w:style w:type="character" w:customStyle="1" w:styleId="CommentTextChar">
    <w:name w:val="Comment Text Char"/>
    <w:basedOn w:val="DefaultParagraphFont"/>
    <w:link w:val="CommentText"/>
    <w:uiPriority w:val="99"/>
    <w:rPr>
      <w:rFonts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0806EB"/>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0806EB"/>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0806EB"/>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806EB"/>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806EB"/>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25">
    <w:name w:val="25"/>
    <w:basedOn w:val="TableNormal"/>
    <w:pPr>
      <w:spacing w:after="0"/>
    </w:pPr>
    <w:rPr>
      <w:sz w:val="20"/>
      <w:szCs w:val="20"/>
    </w:rPr>
    <w:tblPr>
      <w:tblStyleRowBandSize w:val="1"/>
      <w:tblStyleColBandSize w:val="1"/>
    </w:tblPr>
  </w:style>
  <w:style w:type="table" w:customStyle="1" w:styleId="24">
    <w:name w:val="24"/>
    <w:basedOn w:val="TableNormal"/>
    <w:pPr>
      <w:spacing w:after="0"/>
    </w:pPr>
    <w:rPr>
      <w:sz w:val="20"/>
      <w:szCs w:val="20"/>
    </w:rPr>
    <w:tblPr>
      <w:tblStyleRowBandSize w:val="1"/>
      <w:tblStyleColBandSize w:val="1"/>
    </w:tblPr>
  </w:style>
  <w:style w:type="table" w:customStyle="1" w:styleId="23">
    <w:name w:val="23"/>
    <w:basedOn w:val="TableNormal"/>
    <w:pPr>
      <w:spacing w:after="0"/>
    </w:pPr>
    <w:rPr>
      <w:sz w:val="20"/>
      <w:szCs w:val="20"/>
    </w:rPr>
    <w:tblPr>
      <w:tblStyleRowBandSize w:val="1"/>
      <w:tblStyleColBandSize w:val="1"/>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pPr>
      <w:spacing w:after="0"/>
    </w:pPr>
    <w:rPr>
      <w:sz w:val="20"/>
      <w:szCs w:val="20"/>
    </w:rPr>
    <w:tblPr>
      <w:tblStyleRowBandSize w:val="1"/>
      <w:tblStyleColBandSize w:val="1"/>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100" w:type="dxa"/>
        <w:left w:w="100" w:type="dxa"/>
        <w:bottom w:w="100" w:type="dxa"/>
        <w:right w:w="100" w:type="dxa"/>
      </w:tblCellMar>
    </w:tblPr>
  </w:style>
  <w:style w:type="table" w:customStyle="1" w:styleId="16">
    <w:name w:val="16"/>
    <w:basedOn w:val="TableNormal"/>
    <w:pPr>
      <w:spacing w:after="0"/>
    </w:pPr>
    <w:rPr>
      <w:sz w:val="20"/>
      <w:szCs w:val="20"/>
    </w:rPr>
    <w:tblPr>
      <w:tblStyleRowBandSize w:val="1"/>
      <w:tblStyleColBandSize w:val="1"/>
      <w:tblCellMar>
        <w:left w:w="115" w:type="dxa"/>
        <w:right w:w="115" w:type="dxa"/>
      </w:tblCellMar>
    </w:tblPr>
  </w:style>
  <w:style w:type="table" w:customStyle="1" w:styleId="15">
    <w:name w:val="15"/>
    <w:basedOn w:val="TableNormal"/>
    <w:pPr>
      <w:spacing w:after="0"/>
    </w:pPr>
    <w:rPr>
      <w:sz w:val="20"/>
      <w:szCs w:val="20"/>
    </w:rPr>
    <w:tblPr>
      <w:tblStyleRowBandSize w:val="1"/>
      <w:tblStyleColBandSize w:val="1"/>
      <w:tblCellMar>
        <w:left w:w="115" w:type="dxa"/>
        <w:right w:w="115" w:type="dxa"/>
      </w:tblCellMar>
    </w:tblPr>
  </w:style>
  <w:style w:type="table" w:customStyle="1" w:styleId="14">
    <w:name w:val="14"/>
    <w:basedOn w:val="TableNormal"/>
    <w:pPr>
      <w:spacing w:after="0"/>
    </w:pPr>
    <w:rPr>
      <w:sz w:val="20"/>
      <w:szCs w:val="20"/>
    </w:rPr>
    <w:tblPr>
      <w:tblStyleRowBandSize w:val="1"/>
      <w:tblStyleColBandSize w:val="1"/>
      <w:tblCellMar>
        <w:left w:w="115" w:type="dxa"/>
        <w:right w:w="115" w:type="dxa"/>
      </w:tblCellMar>
    </w:tblPr>
  </w:style>
  <w:style w:type="table" w:customStyle="1" w:styleId="13">
    <w:name w:val="13"/>
    <w:basedOn w:val="TableNormal"/>
    <w:pPr>
      <w:spacing w:after="0"/>
    </w:pPr>
    <w:rPr>
      <w:sz w:val="20"/>
      <w:szCs w:val="20"/>
    </w:rPr>
    <w:tblPr>
      <w:tblStyleRowBandSize w:val="1"/>
      <w:tblStyleColBandSize w:val="1"/>
      <w:tblCellMar>
        <w:left w:w="115" w:type="dxa"/>
        <w:right w:w="115" w:type="dxa"/>
      </w:tblCellMar>
    </w:tblPr>
  </w:style>
  <w:style w:type="table" w:customStyle="1" w:styleId="12">
    <w:name w:val="12"/>
    <w:basedOn w:val="TableNormal"/>
    <w:pPr>
      <w:spacing w:after="0"/>
    </w:pPr>
    <w:rPr>
      <w:sz w:val="20"/>
      <w:szCs w:val="20"/>
    </w:rPr>
    <w:tblPr>
      <w:tblStyleRowBandSize w:val="1"/>
      <w:tblStyleColBandSize w:val="1"/>
      <w:tblCellMar>
        <w:left w:w="115" w:type="dxa"/>
        <w:right w:w="115" w:type="dxa"/>
      </w:tblCellMar>
    </w:tblPr>
  </w:style>
  <w:style w:type="table" w:customStyle="1" w:styleId="11">
    <w:name w:val="11"/>
    <w:basedOn w:val="TableNormal"/>
    <w:pPr>
      <w:spacing w:after="0"/>
    </w:pPr>
    <w:rPr>
      <w:sz w:val="20"/>
      <w:szCs w:val="20"/>
    </w:rPr>
    <w:tblPr>
      <w:tblStyleRowBandSize w:val="1"/>
      <w:tblStyleColBandSize w:val="1"/>
      <w:tblCellMar>
        <w:left w:w="115" w:type="dxa"/>
        <w:right w:w="115" w:type="dxa"/>
      </w:tblCellMar>
    </w:tblPr>
  </w:style>
  <w:style w:type="table" w:customStyle="1" w:styleId="10">
    <w:name w:val="10"/>
    <w:basedOn w:val="TableNormal"/>
    <w:pPr>
      <w:spacing w:after="0"/>
    </w:pPr>
    <w:rPr>
      <w:sz w:val="20"/>
      <w:szCs w:val="20"/>
    </w:rPr>
    <w:tblPr>
      <w:tblStyleRowBandSize w:val="1"/>
      <w:tblStyleColBandSize w:val="1"/>
      <w:tblCellMar>
        <w:left w:w="115" w:type="dxa"/>
        <w:right w:w="115" w:type="dxa"/>
      </w:tblCellMar>
    </w:tblPr>
  </w:style>
  <w:style w:type="table" w:customStyle="1" w:styleId="9">
    <w:name w:val="9"/>
    <w:basedOn w:val="TableNormal"/>
    <w:pPr>
      <w:spacing w:after="0"/>
    </w:pPr>
    <w:rPr>
      <w:sz w:val="20"/>
      <w:szCs w:val="20"/>
    </w:rPr>
    <w:tblPr>
      <w:tblStyleRowBandSize w:val="1"/>
      <w:tblStyleColBandSize w:val="1"/>
      <w:tblCellMar>
        <w:left w:w="115" w:type="dxa"/>
        <w:right w:w="115" w:type="dxa"/>
      </w:tblCellMar>
    </w:tblPr>
  </w:style>
  <w:style w:type="table" w:customStyle="1" w:styleId="8">
    <w:name w:val="8"/>
    <w:basedOn w:val="TableNormal"/>
    <w:pPr>
      <w:spacing w:after="0"/>
    </w:pPr>
    <w:rPr>
      <w:sz w:val="20"/>
      <w:szCs w:val="20"/>
    </w:rPr>
    <w:tblPr>
      <w:tblStyleRowBandSize w:val="1"/>
      <w:tblStyleColBandSize w:val="1"/>
      <w:tblCellMar>
        <w:left w:w="115" w:type="dxa"/>
        <w:right w:w="115" w:type="dxa"/>
      </w:tblCellMar>
    </w:tblPr>
  </w:style>
  <w:style w:type="table" w:customStyle="1" w:styleId="7">
    <w:name w:val="7"/>
    <w:basedOn w:val="TableNormal"/>
    <w:pPr>
      <w:spacing w:after="0"/>
    </w:pPr>
    <w:rPr>
      <w:sz w:val="20"/>
      <w:szCs w:val="20"/>
    </w:rPr>
    <w:tblPr>
      <w:tblStyleRowBandSize w:val="1"/>
      <w:tblStyleColBandSize w:val="1"/>
      <w:tblCellMar>
        <w:top w:w="100" w:type="dxa"/>
        <w:left w:w="115" w:type="dxa"/>
        <w:bottom w:w="100" w:type="dxa"/>
        <w:right w:w="115" w:type="dxa"/>
      </w:tblCellMar>
    </w:tblPr>
  </w:style>
  <w:style w:type="table" w:customStyle="1" w:styleId="6">
    <w:name w:val="6"/>
    <w:basedOn w:val="TableNormal"/>
    <w:pPr>
      <w:spacing w:after="0"/>
    </w:pPr>
    <w:rPr>
      <w:sz w:val="20"/>
      <w:szCs w:val="20"/>
    </w:rPr>
    <w:tblPr>
      <w:tblStyleRowBandSize w:val="1"/>
      <w:tblStyleColBandSize w:val="1"/>
      <w:tblCellMar>
        <w:top w:w="100" w:type="dxa"/>
        <w:left w:w="115" w:type="dxa"/>
        <w:bottom w:w="100" w:type="dxa"/>
        <w:right w:w="115" w:type="dxa"/>
      </w:tblCellMar>
    </w:tblPr>
  </w:style>
  <w:style w:type="table" w:customStyle="1" w:styleId="5">
    <w:name w:val="5"/>
    <w:basedOn w:val="TableNormal"/>
    <w:pPr>
      <w:spacing w:after="0"/>
    </w:pPr>
    <w:rPr>
      <w:sz w:val="20"/>
      <w:szCs w:val="20"/>
    </w:rPr>
    <w:tblPr>
      <w:tblStyleRowBandSize w:val="1"/>
      <w:tblStyleColBandSize w:val="1"/>
      <w:tblCellMar>
        <w:top w:w="100" w:type="dxa"/>
        <w:left w:w="115" w:type="dxa"/>
        <w:bottom w:w="100" w:type="dxa"/>
        <w:right w:w="115" w:type="dxa"/>
      </w:tblCellMar>
    </w:tblPr>
  </w:style>
  <w:style w:type="table" w:customStyle="1" w:styleId="4">
    <w:name w:val="4"/>
    <w:basedOn w:val="TableNormal"/>
    <w:pPr>
      <w:spacing w:after="0"/>
    </w:pPr>
    <w:rPr>
      <w:sz w:val="20"/>
      <w:szCs w:val="20"/>
    </w:rPr>
    <w:tblPr>
      <w:tblStyleRowBandSize w:val="1"/>
      <w:tblStyleColBandSize w:val="1"/>
      <w:tblCellMar>
        <w:top w:w="100" w:type="dxa"/>
        <w:left w:w="115" w:type="dxa"/>
        <w:bottom w:w="100" w:type="dxa"/>
        <w:right w:w="115" w:type="dxa"/>
      </w:tblCellMar>
    </w:tblPr>
  </w:style>
  <w:style w:type="table" w:customStyle="1" w:styleId="3">
    <w:name w:val="3"/>
    <w:basedOn w:val="TableNormal"/>
    <w:pPr>
      <w:spacing w:after="0"/>
    </w:pPr>
    <w:rPr>
      <w:sz w:val="20"/>
      <w:szCs w:val="20"/>
    </w:rPr>
    <w:tblPr>
      <w:tblStyleRowBandSize w:val="1"/>
      <w:tblStyleColBandSize w:val="1"/>
      <w:tblCellMar>
        <w:top w:w="100" w:type="dxa"/>
        <w:left w:w="115" w:type="dxa"/>
        <w:bottom w:w="100" w:type="dxa"/>
        <w:right w:w="115" w:type="dxa"/>
      </w:tblCellMar>
    </w:tblPr>
  </w:style>
  <w:style w:type="table" w:customStyle="1" w:styleId="2">
    <w:name w:val="2"/>
    <w:basedOn w:val="TableNormal"/>
    <w:pPr>
      <w:spacing w:after="0"/>
    </w:pPr>
    <w:rPr>
      <w:sz w:val="20"/>
      <w:szCs w:val="20"/>
    </w:rPr>
    <w:tblPr>
      <w:tblStyleRowBandSize w:val="1"/>
      <w:tblStyleColBandSize w:val="1"/>
      <w:tblCellMar>
        <w:top w:w="100" w:type="dxa"/>
        <w:left w:w="115" w:type="dxa"/>
        <w:bottom w:w="100" w:type="dxa"/>
        <w:right w:w="115" w:type="dxa"/>
      </w:tblCellMar>
    </w:tblPr>
  </w:style>
  <w:style w:type="table" w:customStyle="1" w:styleId="1">
    <w:name w:val="1"/>
    <w:basedOn w:val="TableNormal"/>
    <w:pPr>
      <w:spacing w:after="0"/>
    </w:pPr>
    <w:rPr>
      <w:sz w:val="20"/>
      <w:szCs w:val="20"/>
    </w:r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gov.uk/government/publications/strategic-supplie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x+BXSR3q37JVsp7xrJwOJOPbJw==">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</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fc97bf8-f958-4c20-acfa-5c68c38804bc" xsi:nil="true"/>
    <lcf76f155ced4ddcb4097134ff3c332f xmlns="a62fe09a-f48b-4e64-a132-9bcace76c3cd">
      <Terms xmlns="http://schemas.microsoft.com/office/infopath/2007/PartnerControls"/>
    </lcf76f155ced4ddcb4097134ff3c332f>
    <SharedWithUsers xmlns="9fc97bf8-f958-4c20-acfa-5c68c38804bc">
      <UserInfo>
        <DisplayName/>
        <AccountId xsi:nil="true"/>
        <AccountType/>
      </UserInfo>
    </SharedWithUsers>
  </documentManagement>
</p: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96c0abf8-fa2e-4b0f-9eb9-abb3f3653b9c" xsi:nil="true"/>
    <lcf76f155ced4ddcb4097134ff3c332f xmlns="a3a28f9d-e987-4ed8-b36d-00162dc6e5b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5620C9-E3B7-4EF8-93F2-760C16C8C762}">
  <ds:schemaRefs>
    <ds:schemaRef ds:uri="http://schemas.microsoft.com/sharepoint/v3/contenttype/forms"/>
  </ds:schemaRefs>
</ds:datastoreItem>
</file>

<file path=customXml/itemProps2.xml><?xml version="1.0" encoding="utf-8"?>
<ds:datastoreItem xmlns:ds="http://schemas.openxmlformats.org/officeDocument/2006/customXml" ds:itemID="{10D00FC2-C0CB-4BBE-BCFD-AE54F261C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AC535FB-8D5F-40A9-9E08-430CF9A76E8C}">
  <ds:schemaRefs>
    <ds:schemaRef ds:uri="http://schemas.microsoft.com/sharepoint/v3/contenttype/forms"/>
  </ds:schemaRefs>
</ds:datastoreItem>
</file>

<file path=customXml/itemProps5.xml><?xml version="1.0" encoding="utf-8"?>
<ds:datastoreItem xmlns:ds="http://schemas.openxmlformats.org/officeDocument/2006/customXml" ds:itemID="{B65C4BE9-F3FC-4F37-9A3F-10C85F5C2E15}">
  <ds:schemaRefs>
    <ds:schemaRef ds:uri="http://schemas.microsoft.com/office/2006/metadata/properties"/>
    <ds:schemaRef ds:uri="http://schemas.microsoft.com/office/infopath/2007/PartnerControls"/>
    <ds:schemaRef ds:uri="9fc97bf8-f958-4c20-acfa-5c68c38804bc"/>
    <ds:schemaRef ds:uri="a62fe09a-f48b-4e64-a132-9bcace76c3cd"/>
  </ds:schemaRefs>
</ds:datastoreItem>
</file>

<file path=customXml/itemProps6.xml><?xml version="1.0" encoding="utf-8"?>
<ds:datastoreItem xmlns:ds="http://schemas.openxmlformats.org/officeDocument/2006/customXml" ds:itemID="{C17129A0-8FF3-4B63-96DA-D1E768389742}">
  <ds:schemaRefs>
    <ds:schemaRef ds:uri="http://schemas.microsoft.com/office/2006/metadata/properties"/>
    <ds:schemaRef ds:uri="http://schemas.microsoft.com/office/infopath/2007/PartnerControls"/>
    <ds:schemaRef ds:uri="96c0abf8-fa2e-4b0f-9eb9-abb3f3653b9c"/>
    <ds:schemaRef ds:uri="a3a28f9d-e987-4ed8-b36d-00162dc6e5b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6272</Words>
  <Characters>35757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Nathan Fox</dc:creator>
  <cp:lastModifiedBy>Larocque, Miriam (Commercial)</cp:lastModifiedBy>
  <cp:revision>3</cp:revision>
  <dcterms:created xsi:type="dcterms:W3CDTF">2024-05-02T11:56:00Z</dcterms:created>
  <dcterms:modified xsi:type="dcterms:W3CDTF">2024-05-03T15:56:00Z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76698887.1</vt:lpwstr>
  </property>
  <property fmtid="{D5CDD505-2E9C-101B-9397-08002B2CF9AE}" pid="4" name="MSIP_Label_f9af038e-07b4-4369-a678-c835687cb272_Enabled">
    <vt:lpwstr>true</vt:lpwstr>
  </property>
  <property fmtid="{D5CDD505-2E9C-101B-9397-08002B2CF9AE}" pid="5" name="MSIP_Label_f9af038e-07b4-4369-a678-c835687cb272_SetDate">
    <vt:lpwstr>2024-03-05T08:44:16Z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41c06677-78d3-4b68-a88f-fbdbeb5686da</vt:lpwstr>
  </property>
  <property fmtid="{D5CDD505-2E9C-101B-9397-08002B2CF9AE}" pid="10" name="MSIP_Label_f9af038e-07b4-4369-a678-c835687cb272_ContentBits">
    <vt:lpwstr>2</vt:lpwstr>
  </property>
  <property fmtid="{D5CDD505-2E9C-101B-9397-08002B2CF9AE}" pid="11" name="ContentTypeId">
    <vt:lpwstr>0x010100D31FB411CF589246B9C8E5231A066C2D</vt:lpwstr>
  </property>
  <property fmtid="{D5CDD505-2E9C-101B-9397-08002B2CF9AE}" pid="12" name="ClassificationContentMarkingFooterShapeIds">
    <vt:lpwstr>1,2,3</vt:lpwstr>
  </property>
  <property fmtid="{D5CDD505-2E9C-101B-9397-08002B2CF9AE}" pid="13" name="ClassificationContentMarkingFooterFontProps">
    <vt:lpwstr>#000000,10,Calibri</vt:lpwstr>
  </property>
  <property fmtid="{D5CDD505-2E9C-101B-9397-08002B2CF9AE}" pid="14" name="ClassificationContentMarkingFooterText">
    <vt:lpwstr>OFFICIAL</vt:lpwstr>
  </property>
  <property fmtid="{D5CDD505-2E9C-101B-9397-08002B2CF9AE}" pid="15" name="MediaServiceImageTags">
    <vt:lpwstr/>
  </property>
  <property fmtid="{D5CDD505-2E9C-101B-9397-08002B2CF9AE}" pid="16" name="Order">
    <vt:r8>14105100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